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A5FE9" w14:textId="77777777" w:rsidR="00D92728" w:rsidRPr="00BC5B91" w:rsidRDefault="00D92728" w:rsidP="00D92728">
      <w:pPr>
        <w:spacing w:line="276" w:lineRule="auto"/>
        <w:rPr>
          <w:rFonts w:ascii="Times New Roman" w:hAnsi="Times New Roman" w:cs="Times New Roman"/>
          <w:b/>
          <w:sz w:val="24"/>
          <w:szCs w:val="24"/>
        </w:rPr>
      </w:pPr>
      <w:r w:rsidRPr="00BC5B91">
        <w:rPr>
          <w:rFonts w:ascii="Times New Roman" w:hAnsi="Times New Roman" w:cs="Times New Roman"/>
          <w:b/>
          <w:sz w:val="24"/>
          <w:szCs w:val="24"/>
        </w:rPr>
        <w:t>A Conceptual Framework to Address Equity and Efficiency Challenges in Ghana’s Computerized School Select</w:t>
      </w:r>
      <w:r>
        <w:rPr>
          <w:rFonts w:ascii="Times New Roman" w:hAnsi="Times New Roman" w:cs="Times New Roman"/>
          <w:b/>
          <w:sz w:val="24"/>
          <w:szCs w:val="24"/>
        </w:rPr>
        <w:t>ion and Placement System</w:t>
      </w:r>
      <w:r w:rsidRPr="00BC5B91">
        <w:rPr>
          <w:rFonts w:ascii="Times New Roman" w:hAnsi="Times New Roman" w:cs="Times New Roman"/>
          <w:b/>
          <w:sz w:val="24"/>
          <w:szCs w:val="24"/>
        </w:rPr>
        <w:t xml:space="preserve">: Insights for </w:t>
      </w:r>
      <w:r>
        <w:rPr>
          <w:rFonts w:ascii="Times New Roman" w:hAnsi="Times New Roman" w:cs="Times New Roman"/>
          <w:b/>
          <w:sz w:val="24"/>
          <w:szCs w:val="24"/>
        </w:rPr>
        <w:t>E</w:t>
      </w:r>
      <w:r w:rsidRPr="00BC5B91">
        <w:rPr>
          <w:rFonts w:ascii="Times New Roman" w:hAnsi="Times New Roman" w:cs="Times New Roman"/>
          <w:b/>
          <w:sz w:val="24"/>
          <w:szCs w:val="24"/>
        </w:rPr>
        <w:t>nrollment, Policy</w:t>
      </w:r>
      <w:r>
        <w:rPr>
          <w:rFonts w:ascii="Times New Roman" w:hAnsi="Times New Roman" w:cs="Times New Roman"/>
          <w:b/>
          <w:sz w:val="24"/>
          <w:szCs w:val="24"/>
        </w:rPr>
        <w:t>,</w:t>
      </w:r>
      <w:r w:rsidRPr="00BC5B91">
        <w:rPr>
          <w:rFonts w:ascii="Times New Roman" w:hAnsi="Times New Roman" w:cs="Times New Roman"/>
          <w:b/>
          <w:sz w:val="24"/>
          <w:szCs w:val="24"/>
        </w:rPr>
        <w:t xml:space="preserve"> and Practice</w:t>
      </w:r>
    </w:p>
    <w:p w14:paraId="1A610589" w14:textId="3564E648" w:rsidR="005C7200" w:rsidRPr="004524A3" w:rsidRDefault="005C7200" w:rsidP="00AD148D">
      <w:pPr>
        <w:jc w:val="both"/>
        <w:rPr>
          <w:rFonts w:ascii="Times New Roman" w:hAnsi="Times New Roman" w:cs="Times New Roman"/>
          <w:b/>
          <w:sz w:val="24"/>
          <w:szCs w:val="24"/>
        </w:rPr>
      </w:pPr>
      <w:bookmarkStart w:id="0" w:name="_GoBack"/>
      <w:bookmarkEnd w:id="0"/>
      <w:r w:rsidRPr="004524A3">
        <w:rPr>
          <w:rFonts w:ascii="Times New Roman" w:hAnsi="Times New Roman" w:cs="Times New Roman"/>
          <w:b/>
          <w:sz w:val="24"/>
          <w:szCs w:val="24"/>
        </w:rPr>
        <w:t>Abstract</w:t>
      </w:r>
    </w:p>
    <w:p w14:paraId="171E0940" w14:textId="4991CA58" w:rsidR="004A4B1B" w:rsidRPr="004524A3" w:rsidRDefault="00062071" w:rsidP="00AD148D">
      <w:pPr>
        <w:jc w:val="both"/>
        <w:rPr>
          <w:rFonts w:ascii="Times New Roman" w:hAnsi="Times New Roman" w:cs="Times New Roman"/>
          <w:sz w:val="24"/>
          <w:szCs w:val="24"/>
        </w:rPr>
      </w:pPr>
      <w:r w:rsidRPr="004524A3">
        <w:rPr>
          <w:rFonts w:ascii="Times New Roman" w:hAnsi="Times New Roman" w:cs="Times New Roman"/>
          <w:sz w:val="24"/>
          <w:szCs w:val="24"/>
        </w:rPr>
        <w:t>While Ghana's Free SHS policy has expanded access to secondary education, enrollment challenges persist, with a significant number of placed students (approximately 194,862 between 2019/20 and 2022/23) not enrolling due to system-related, demographic, social, and institutional factors. This study examines the systemic challenges of Ghana's CSSPS and develops a framework to address its equity and efficiency.</w:t>
      </w:r>
      <w:r w:rsidR="00260AA2" w:rsidRPr="004524A3">
        <w:rPr>
          <w:rFonts w:ascii="Times New Roman" w:hAnsi="Times New Roman" w:cs="Times New Roman"/>
          <w:sz w:val="24"/>
          <w:szCs w:val="24"/>
        </w:rPr>
        <w:t xml:space="preserve"> </w:t>
      </w:r>
      <w:r w:rsidR="002769A1" w:rsidRPr="004524A3">
        <w:rPr>
          <w:rFonts w:ascii="Times New Roman" w:hAnsi="Times New Roman" w:cs="Times New Roman"/>
          <w:sz w:val="24"/>
          <w:szCs w:val="24"/>
        </w:rPr>
        <w:t>Data were</w:t>
      </w:r>
      <w:r w:rsidR="00260AA2" w:rsidRPr="004524A3">
        <w:rPr>
          <w:rFonts w:ascii="Times New Roman" w:hAnsi="Times New Roman" w:cs="Times New Roman"/>
          <w:sz w:val="24"/>
          <w:szCs w:val="24"/>
        </w:rPr>
        <w:t xml:space="preserve"> collected</w:t>
      </w:r>
      <w:r w:rsidR="002769A1" w:rsidRPr="004524A3">
        <w:rPr>
          <w:rFonts w:ascii="Times New Roman" w:hAnsi="Times New Roman" w:cs="Times New Roman"/>
          <w:sz w:val="24"/>
          <w:szCs w:val="24"/>
        </w:rPr>
        <w:t xml:space="preserve"> through</w:t>
      </w:r>
      <w:r w:rsidR="00260AA2" w:rsidRPr="004524A3">
        <w:rPr>
          <w:rFonts w:ascii="Times New Roman" w:hAnsi="Times New Roman" w:cs="Times New Roman"/>
          <w:sz w:val="24"/>
          <w:szCs w:val="24"/>
        </w:rPr>
        <w:t xml:space="preserve"> </w:t>
      </w:r>
      <w:r w:rsidR="00860AA4">
        <w:rPr>
          <w:rFonts w:ascii="Times New Roman" w:hAnsi="Times New Roman" w:cs="Times New Roman"/>
          <w:sz w:val="24"/>
          <w:szCs w:val="24"/>
        </w:rPr>
        <w:t xml:space="preserve">a </w:t>
      </w:r>
      <w:r w:rsidR="00260AA2" w:rsidRPr="004524A3">
        <w:rPr>
          <w:rFonts w:ascii="Times New Roman" w:hAnsi="Times New Roman" w:cs="Times New Roman"/>
          <w:sz w:val="24"/>
          <w:szCs w:val="24"/>
        </w:rPr>
        <w:t xml:space="preserve">questionnaire from 267 </w:t>
      </w:r>
      <w:r w:rsidR="004A4B1B" w:rsidRPr="004524A3">
        <w:rPr>
          <w:rFonts w:ascii="Times New Roman" w:hAnsi="Times New Roman" w:cs="Times New Roman"/>
          <w:sz w:val="24"/>
          <w:szCs w:val="24"/>
        </w:rPr>
        <w:t>students</w:t>
      </w:r>
      <w:r w:rsidR="00260AA2" w:rsidRPr="004524A3">
        <w:rPr>
          <w:rFonts w:ascii="Times New Roman" w:hAnsi="Times New Roman" w:cs="Times New Roman"/>
          <w:sz w:val="24"/>
          <w:szCs w:val="24"/>
        </w:rPr>
        <w:t xml:space="preserve"> </w:t>
      </w:r>
      <w:r w:rsidR="004A4B1B" w:rsidRPr="004524A3">
        <w:rPr>
          <w:rFonts w:ascii="Times New Roman" w:hAnsi="Times New Roman" w:cs="Times New Roman"/>
          <w:sz w:val="24"/>
          <w:szCs w:val="24"/>
        </w:rPr>
        <w:t>from</w:t>
      </w:r>
      <w:r w:rsidR="00260AA2" w:rsidRPr="004524A3">
        <w:rPr>
          <w:rFonts w:ascii="Times New Roman" w:hAnsi="Times New Roman" w:cs="Times New Roman"/>
          <w:sz w:val="24"/>
          <w:szCs w:val="24"/>
        </w:rPr>
        <w:t xml:space="preserve"> a population of 865 using</w:t>
      </w:r>
      <w:r w:rsidR="00260AA2" w:rsidRPr="004524A3">
        <w:rPr>
          <w:rFonts w:ascii="Times New Roman" w:eastAsia="Times New Roman" w:hAnsi="Times New Roman" w:cs="Times New Roman"/>
          <w:sz w:val="24"/>
          <w:szCs w:val="24"/>
        </w:rPr>
        <w:t xml:space="preserve"> the Raosoft sample size calculator</w:t>
      </w:r>
      <w:r w:rsidR="00260AA2" w:rsidRPr="004524A3">
        <w:rPr>
          <w:rFonts w:ascii="Times New Roman" w:hAnsi="Times New Roman" w:cs="Times New Roman"/>
          <w:sz w:val="24"/>
          <w:szCs w:val="24"/>
        </w:rPr>
        <w:t xml:space="preserve"> </w:t>
      </w:r>
      <w:r w:rsidR="004A4B1B" w:rsidRPr="004524A3">
        <w:rPr>
          <w:rFonts w:ascii="Times New Roman" w:hAnsi="Times New Roman" w:cs="Times New Roman"/>
          <w:sz w:val="24"/>
          <w:szCs w:val="24"/>
        </w:rPr>
        <w:t xml:space="preserve">and </w:t>
      </w:r>
      <w:r w:rsidR="004A4B1B" w:rsidRPr="004524A3">
        <w:rPr>
          <w:rFonts w:ascii="Times New Roman" w:eastAsia="Times New Roman" w:hAnsi="Times New Roman" w:cs="Times New Roman"/>
          <w:sz w:val="24"/>
          <w:szCs w:val="24"/>
        </w:rPr>
        <w:t>a multi-stage stratified random sampling technique</w:t>
      </w:r>
      <w:r w:rsidR="00860AA4">
        <w:rPr>
          <w:rFonts w:ascii="Times New Roman" w:eastAsia="Times New Roman" w:hAnsi="Times New Roman" w:cs="Times New Roman"/>
          <w:sz w:val="24"/>
          <w:szCs w:val="24"/>
        </w:rPr>
        <w:t>,</w:t>
      </w:r>
      <w:r w:rsidR="004A4B1B" w:rsidRPr="004524A3">
        <w:rPr>
          <w:rFonts w:ascii="Times New Roman" w:hAnsi="Times New Roman" w:cs="Times New Roman"/>
          <w:sz w:val="24"/>
          <w:szCs w:val="24"/>
        </w:rPr>
        <w:t xml:space="preserve"> </w:t>
      </w:r>
      <w:r w:rsidR="00260AA2" w:rsidRPr="004524A3">
        <w:rPr>
          <w:rFonts w:ascii="Times New Roman" w:hAnsi="Times New Roman" w:cs="Times New Roman"/>
          <w:sz w:val="24"/>
          <w:szCs w:val="24"/>
        </w:rPr>
        <w:t>and analyzed using descriptive statistics and multiple regression.</w:t>
      </w:r>
      <w:r w:rsidR="004A4B1B" w:rsidRPr="004524A3">
        <w:rPr>
          <w:rFonts w:ascii="Times New Roman" w:hAnsi="Times New Roman" w:cs="Times New Roman"/>
          <w:sz w:val="24"/>
          <w:szCs w:val="24"/>
        </w:rPr>
        <w:t xml:space="preserve"> </w:t>
      </w:r>
      <w:r w:rsidR="00260AA2" w:rsidRPr="004524A3">
        <w:rPr>
          <w:rFonts w:ascii="Times New Roman" w:hAnsi="Times New Roman" w:cs="Times New Roman"/>
          <w:sz w:val="24"/>
          <w:szCs w:val="24"/>
        </w:rPr>
        <w:t xml:space="preserve">Key factors influencing enrollment success were examined, including feedback clarity, data utilization, decentralized processes, school preference consideration, and Category “A” school </w:t>
      </w:r>
      <w:r w:rsidR="004A4B1B" w:rsidRPr="004524A3">
        <w:rPr>
          <w:rFonts w:ascii="Times New Roman" w:hAnsi="Times New Roman" w:cs="Times New Roman"/>
          <w:sz w:val="24"/>
          <w:szCs w:val="24"/>
        </w:rPr>
        <w:t>denial, which were all significant</w:t>
      </w:r>
      <w:r w:rsidR="00260AA2" w:rsidRPr="004524A3">
        <w:rPr>
          <w:rFonts w:ascii="Times New Roman" w:hAnsi="Times New Roman" w:cs="Times New Roman"/>
          <w:sz w:val="24"/>
          <w:szCs w:val="24"/>
        </w:rPr>
        <w:t>. These findings highlight the need for reforms in CSSPS policies and practices to enhance enrollment outcomes and maximize the benefits of the Free SHS policy</w:t>
      </w:r>
      <w:r w:rsidR="00860AA4">
        <w:rPr>
          <w:rFonts w:ascii="Times New Roman" w:hAnsi="Times New Roman" w:cs="Times New Roman"/>
          <w:sz w:val="24"/>
          <w:szCs w:val="24"/>
        </w:rPr>
        <w:t>,</w:t>
      </w:r>
      <w:r w:rsidR="004A4B1B" w:rsidRPr="004524A3">
        <w:rPr>
          <w:rFonts w:ascii="Times New Roman" w:hAnsi="Times New Roman" w:cs="Times New Roman"/>
          <w:sz w:val="24"/>
          <w:szCs w:val="24"/>
        </w:rPr>
        <w:t xml:space="preserve"> and recommend the implementation of the proposed framework</w:t>
      </w:r>
      <w:r w:rsidR="00260AA2" w:rsidRPr="004524A3">
        <w:rPr>
          <w:rFonts w:ascii="Times New Roman" w:hAnsi="Times New Roman" w:cs="Times New Roman"/>
          <w:sz w:val="24"/>
          <w:szCs w:val="24"/>
        </w:rPr>
        <w:t>.</w:t>
      </w:r>
    </w:p>
    <w:p w14:paraId="7655A3BB" w14:textId="77777777" w:rsidR="009A5FCC" w:rsidRPr="004524A3" w:rsidRDefault="005C7200" w:rsidP="00AD148D">
      <w:pPr>
        <w:jc w:val="both"/>
        <w:rPr>
          <w:rFonts w:ascii="Times New Roman" w:hAnsi="Times New Roman" w:cs="Times New Roman"/>
          <w:sz w:val="24"/>
          <w:szCs w:val="24"/>
        </w:rPr>
      </w:pPr>
      <w:r w:rsidRPr="004524A3">
        <w:rPr>
          <w:rFonts w:ascii="Times New Roman" w:hAnsi="Times New Roman" w:cs="Times New Roman"/>
          <w:b/>
          <w:sz w:val="24"/>
          <w:szCs w:val="24"/>
        </w:rPr>
        <w:t>Keywords</w:t>
      </w:r>
    </w:p>
    <w:p w14:paraId="4E7721B6" w14:textId="0C4A3441" w:rsidR="00927D6A" w:rsidRPr="004524A3" w:rsidRDefault="00927D6A" w:rsidP="00AD148D">
      <w:pPr>
        <w:jc w:val="both"/>
        <w:rPr>
          <w:rFonts w:ascii="Times New Roman" w:hAnsi="Times New Roman" w:cs="Times New Roman"/>
          <w:sz w:val="24"/>
          <w:szCs w:val="24"/>
        </w:rPr>
      </w:pPr>
      <w:r w:rsidRPr="004524A3">
        <w:rPr>
          <w:rFonts w:ascii="Times New Roman" w:hAnsi="Times New Roman" w:cs="Times New Roman"/>
          <w:sz w:val="24"/>
          <w:szCs w:val="24"/>
        </w:rPr>
        <w:t xml:space="preserve">Computerized School Selection and Placement System (CSSPS), Enrollment, placement, Ghana Education </w:t>
      </w:r>
      <w:r w:rsidR="00860AA4">
        <w:rPr>
          <w:rFonts w:ascii="Times New Roman" w:hAnsi="Times New Roman" w:cs="Times New Roman"/>
          <w:sz w:val="24"/>
          <w:szCs w:val="24"/>
        </w:rPr>
        <w:t>S</w:t>
      </w:r>
      <w:r w:rsidRPr="004524A3">
        <w:rPr>
          <w:rFonts w:ascii="Times New Roman" w:hAnsi="Times New Roman" w:cs="Times New Roman"/>
          <w:sz w:val="24"/>
          <w:szCs w:val="24"/>
        </w:rPr>
        <w:t>ervice (GES)</w:t>
      </w:r>
      <w:r w:rsidR="002826C8">
        <w:rPr>
          <w:rFonts w:ascii="Times New Roman" w:hAnsi="Times New Roman" w:cs="Times New Roman"/>
          <w:sz w:val="24"/>
          <w:szCs w:val="24"/>
        </w:rPr>
        <w:t>,</w:t>
      </w:r>
      <w:r w:rsidRPr="004524A3">
        <w:rPr>
          <w:rFonts w:ascii="Times New Roman" w:hAnsi="Times New Roman" w:cs="Times New Roman"/>
          <w:sz w:val="24"/>
          <w:szCs w:val="24"/>
        </w:rPr>
        <w:t xml:space="preserve"> and </w:t>
      </w:r>
      <w:r w:rsidRPr="004524A3">
        <w:rPr>
          <w:rFonts w:ascii="Times New Roman" w:hAnsi="Times New Roman" w:cs="Times New Roman"/>
          <w:sz w:val="24"/>
          <w:szCs w:val="24"/>
          <w:lang w:val="en-GB"/>
        </w:rPr>
        <w:t>Ghana National Association of Private Schools</w:t>
      </w:r>
    </w:p>
    <w:p w14:paraId="4B5528CB" w14:textId="77777777" w:rsidR="009A5FCC" w:rsidRPr="004524A3" w:rsidRDefault="009A5FCC" w:rsidP="00AD148D">
      <w:pPr>
        <w:jc w:val="both"/>
        <w:rPr>
          <w:rFonts w:ascii="Times New Roman" w:hAnsi="Times New Roman" w:cs="Times New Roman"/>
          <w:sz w:val="24"/>
          <w:szCs w:val="24"/>
        </w:rPr>
      </w:pPr>
      <w:r w:rsidRPr="004524A3">
        <w:rPr>
          <w:rFonts w:ascii="Times New Roman" w:hAnsi="Times New Roman" w:cs="Times New Roman"/>
          <w:b/>
          <w:sz w:val="24"/>
          <w:szCs w:val="24"/>
        </w:rPr>
        <w:t>Introduction</w:t>
      </w:r>
    </w:p>
    <w:p w14:paraId="3273AF0E" w14:textId="50B6C7EA" w:rsidR="002826C8" w:rsidRPr="002826C8" w:rsidRDefault="002826C8" w:rsidP="00AD148D">
      <w:pPr>
        <w:jc w:val="both"/>
        <w:rPr>
          <w:rFonts w:ascii="Times New Roman" w:hAnsi="Times New Roman" w:cs="Times New Roman"/>
          <w:sz w:val="24"/>
          <w:szCs w:val="24"/>
        </w:rPr>
      </w:pPr>
      <w:r w:rsidRPr="002826C8">
        <w:rPr>
          <w:rFonts w:ascii="Times New Roman" w:hAnsi="Times New Roman" w:cs="Times New Roman"/>
          <w:sz w:val="24"/>
          <w:szCs w:val="24"/>
        </w:rPr>
        <w:t>Ghana’s Free Senior High School (SHS) policy was introduced to improve access to secondary education nationwide. While the policy has si</w:t>
      </w:r>
      <w:r>
        <w:rPr>
          <w:rFonts w:ascii="Times New Roman" w:hAnsi="Times New Roman" w:cs="Times New Roman"/>
          <w:sz w:val="24"/>
          <w:szCs w:val="24"/>
        </w:rPr>
        <w:t xml:space="preserve">gnificantly increased enrolment </w:t>
      </w:r>
      <w:r w:rsidRPr="002826C8">
        <w:rPr>
          <w:rFonts w:ascii="Times New Roman" w:hAnsi="Times New Roman" w:cs="Times New Roman"/>
          <w:sz w:val="24"/>
          <w:szCs w:val="24"/>
        </w:rPr>
        <w:t>from 800,000 in 2016 to 1.6 million in</w:t>
      </w:r>
      <w:r>
        <w:rPr>
          <w:rFonts w:ascii="Times New Roman" w:hAnsi="Times New Roman" w:cs="Times New Roman"/>
          <w:sz w:val="24"/>
          <w:szCs w:val="24"/>
        </w:rPr>
        <w:t xml:space="preserve"> 2024 (Ghana News Agency, 2024), </w:t>
      </w:r>
      <w:r w:rsidRPr="002826C8">
        <w:rPr>
          <w:rFonts w:ascii="Times New Roman" w:hAnsi="Times New Roman" w:cs="Times New Roman"/>
          <w:sz w:val="24"/>
          <w:szCs w:val="24"/>
        </w:rPr>
        <w:t>data suggests that a considerable number of placed students do not proceed to enroll. For instance, between the 2019/20 and 2022/23 academic years, approximately 194,862 candidates did not take up their SHS placements (3News, 2024). In 2019 alone, 55,056 out of 459,912 qualified students (11.9%) did not enroll (Acheampong, 2021).</w:t>
      </w:r>
    </w:p>
    <w:p w14:paraId="1B0F70F3" w14:textId="17206B7A" w:rsidR="002826C8" w:rsidRPr="002826C8" w:rsidRDefault="002826C8" w:rsidP="00AD148D">
      <w:pPr>
        <w:jc w:val="both"/>
        <w:rPr>
          <w:rFonts w:ascii="Times New Roman" w:hAnsi="Times New Roman" w:cs="Times New Roman"/>
          <w:sz w:val="24"/>
          <w:szCs w:val="24"/>
        </w:rPr>
      </w:pPr>
      <w:r w:rsidRPr="002826C8">
        <w:rPr>
          <w:rFonts w:ascii="Times New Roman" w:hAnsi="Times New Roman" w:cs="Times New Roman"/>
          <w:sz w:val="24"/>
          <w:szCs w:val="24"/>
        </w:rPr>
        <w:t>Although the 2024 academic year saw the hi</w:t>
      </w:r>
      <w:r>
        <w:rPr>
          <w:rFonts w:ascii="Times New Roman" w:hAnsi="Times New Roman" w:cs="Times New Roman"/>
          <w:sz w:val="24"/>
          <w:szCs w:val="24"/>
        </w:rPr>
        <w:t xml:space="preserve">ghest-ever first-year enrolment, </w:t>
      </w:r>
      <w:r w:rsidRPr="002826C8">
        <w:rPr>
          <w:rFonts w:ascii="Times New Roman" w:hAnsi="Times New Roman" w:cs="Times New Roman"/>
          <w:sz w:val="24"/>
          <w:szCs w:val="24"/>
        </w:rPr>
        <w:t>504,580 out of 5</w:t>
      </w:r>
      <w:r>
        <w:rPr>
          <w:rFonts w:ascii="Times New Roman" w:hAnsi="Times New Roman" w:cs="Times New Roman"/>
          <w:sz w:val="24"/>
          <w:szCs w:val="24"/>
        </w:rPr>
        <w:t xml:space="preserve">54,033 placed students (91.07%), </w:t>
      </w:r>
      <w:r w:rsidRPr="002826C8">
        <w:rPr>
          <w:rFonts w:ascii="Times New Roman" w:hAnsi="Times New Roman" w:cs="Times New Roman"/>
          <w:sz w:val="24"/>
          <w:szCs w:val="24"/>
        </w:rPr>
        <w:t>this still left over 49,000 students unaccounted for (DailyGuide Network, 2024). Additionally, about 104,918 students were not automatically placed and had to rely on the Self-Placement system to secure admission (Yen, 2024). These trends highlight persistent gaps in the Computerized School Selection and Placement System (CSSPS).</w:t>
      </w:r>
    </w:p>
    <w:p w14:paraId="3A6CCAFB" w14:textId="35662CF5" w:rsidR="002826C8" w:rsidRPr="002826C8" w:rsidRDefault="002826C8" w:rsidP="00AD148D">
      <w:pPr>
        <w:jc w:val="both"/>
        <w:rPr>
          <w:rFonts w:ascii="Times New Roman" w:hAnsi="Times New Roman" w:cs="Times New Roman"/>
          <w:sz w:val="24"/>
          <w:szCs w:val="24"/>
        </w:rPr>
      </w:pPr>
      <w:r w:rsidRPr="002826C8">
        <w:rPr>
          <w:rFonts w:ascii="Times New Roman" w:hAnsi="Times New Roman" w:cs="Times New Roman"/>
          <w:sz w:val="24"/>
          <w:szCs w:val="24"/>
        </w:rPr>
        <w:t xml:space="preserve">An exploratory survey conducted at the Free SHS Secretariat in 2024 revealed that in the Bunkpurugu-Nakpanduri District alone, from 2019 to 2023, 11,085 students were </w:t>
      </w:r>
      <w:r>
        <w:rPr>
          <w:rFonts w:ascii="Times New Roman" w:hAnsi="Times New Roman" w:cs="Times New Roman"/>
          <w:sz w:val="24"/>
          <w:szCs w:val="24"/>
        </w:rPr>
        <w:t xml:space="preserve">placed, but only 8,188 enrolled, </w:t>
      </w:r>
      <w:r w:rsidRPr="002826C8">
        <w:rPr>
          <w:rFonts w:ascii="Times New Roman" w:hAnsi="Times New Roman" w:cs="Times New Roman"/>
          <w:sz w:val="24"/>
          <w:szCs w:val="24"/>
        </w:rPr>
        <w:t>leaving 2,895 (26.13%) who did not. A significant number of those who enrolled did so through self-placement, underscoring concerns with the system’s ability to match students effectively to schools.</w:t>
      </w:r>
    </w:p>
    <w:p w14:paraId="7AB3DB91" w14:textId="77777777" w:rsidR="002826C8" w:rsidRPr="002826C8" w:rsidRDefault="002826C8" w:rsidP="00AD148D">
      <w:pPr>
        <w:jc w:val="both"/>
        <w:rPr>
          <w:rFonts w:ascii="Times New Roman" w:hAnsi="Times New Roman" w:cs="Times New Roman"/>
          <w:sz w:val="24"/>
          <w:szCs w:val="24"/>
        </w:rPr>
      </w:pPr>
      <w:r w:rsidRPr="002826C8">
        <w:rPr>
          <w:rFonts w:ascii="Times New Roman" w:hAnsi="Times New Roman" w:cs="Times New Roman"/>
          <w:sz w:val="24"/>
          <w:szCs w:val="24"/>
        </w:rPr>
        <w:lastRenderedPageBreak/>
        <w:t>Scholarly work has identified a range of contributing factors to these enrolment gaps. These include system-related issues (Kwasi &amp; Opoku, 2021), as well as broader demographic, social, and institutional influences (Cabrera &amp; La Nasa, 2000; Kim, 2004; Shank &amp; Beasley, 1998). Specific critiques of CSSPS highlight equity disparities in access to preferred schools, especially for students from disadvantaged backgrounds (Asare &amp; Osei, 2018), and challenges stemming from the 30% priority placement allocation for public JHS students into Category A schools (GNAPS, 2022). Additionally, the centralized structure of the system has been criticized for inefficient feedback mechanisms (Mensah, 2020) and its overreliance on academic scores, to the neglect of student interests, skills, and extracurricular achievements (Owusu &amp; Nettey, 2022).</w:t>
      </w:r>
    </w:p>
    <w:p w14:paraId="60FB4874" w14:textId="77777777" w:rsidR="002826C8" w:rsidRPr="002826C8" w:rsidRDefault="002826C8" w:rsidP="00AD148D">
      <w:pPr>
        <w:jc w:val="both"/>
        <w:rPr>
          <w:rFonts w:ascii="Times New Roman" w:hAnsi="Times New Roman" w:cs="Times New Roman"/>
          <w:sz w:val="24"/>
          <w:szCs w:val="24"/>
        </w:rPr>
      </w:pPr>
      <w:r w:rsidRPr="002826C8">
        <w:rPr>
          <w:rFonts w:ascii="Times New Roman" w:hAnsi="Times New Roman" w:cs="Times New Roman"/>
          <w:sz w:val="24"/>
          <w:szCs w:val="24"/>
        </w:rPr>
        <w:t>Despite its potential to promote fair and efficient school placements, the CSSPS continues to face significant challenges. To address these, this study proposes the development of a conceptual framework that offers insights for improving equity and efficiency within the placement process.</w:t>
      </w:r>
    </w:p>
    <w:p w14:paraId="231770DF" w14:textId="1C50E4EA" w:rsidR="002826C8" w:rsidRPr="002826C8" w:rsidRDefault="002826C8" w:rsidP="00AD148D">
      <w:pPr>
        <w:jc w:val="both"/>
        <w:rPr>
          <w:rFonts w:ascii="Times New Roman" w:hAnsi="Times New Roman" w:cs="Times New Roman"/>
          <w:sz w:val="24"/>
          <w:szCs w:val="24"/>
        </w:rPr>
      </w:pPr>
      <w:r w:rsidRPr="002826C8">
        <w:rPr>
          <w:rFonts w:ascii="Times New Roman" w:hAnsi="Times New Roman" w:cs="Times New Roman"/>
          <w:sz w:val="24"/>
          <w:szCs w:val="24"/>
        </w:rPr>
        <w:t>Addressing these systemic issues is critical for Ghana’s educational reform and broader national development. E</w:t>
      </w:r>
      <w:r>
        <w:rPr>
          <w:rFonts w:ascii="Times New Roman" w:hAnsi="Times New Roman" w:cs="Times New Roman"/>
          <w:sz w:val="24"/>
          <w:szCs w:val="24"/>
        </w:rPr>
        <w:t xml:space="preserve">quity ensures that all students, regardless of background, </w:t>
      </w:r>
      <w:r w:rsidRPr="002826C8">
        <w:rPr>
          <w:rFonts w:ascii="Times New Roman" w:hAnsi="Times New Roman" w:cs="Times New Roman"/>
          <w:sz w:val="24"/>
          <w:szCs w:val="24"/>
        </w:rPr>
        <w:t>have fair access to quality education, while efficiency ensures optimal use of resources and minimizes administrative challenges and enro</w:t>
      </w:r>
      <w:r>
        <w:rPr>
          <w:rFonts w:ascii="Times New Roman" w:hAnsi="Times New Roman" w:cs="Times New Roman"/>
          <w:sz w:val="24"/>
          <w:szCs w:val="24"/>
        </w:rPr>
        <w:t>l</w:t>
      </w:r>
      <w:r w:rsidRPr="002826C8">
        <w:rPr>
          <w:rFonts w:ascii="Times New Roman" w:hAnsi="Times New Roman" w:cs="Times New Roman"/>
          <w:sz w:val="24"/>
          <w:szCs w:val="24"/>
        </w:rPr>
        <w:t>lment losses. Together, they contribute to a stronger, more inclusive educational system capable of preparing a skilled workforce for the future.</w:t>
      </w:r>
    </w:p>
    <w:p w14:paraId="5707E25A" w14:textId="77777777" w:rsidR="001B747C" w:rsidRPr="004524A3" w:rsidRDefault="001B747C" w:rsidP="00AD148D">
      <w:pPr>
        <w:jc w:val="both"/>
        <w:rPr>
          <w:rFonts w:ascii="Times New Roman" w:hAnsi="Times New Roman" w:cs="Times New Roman"/>
          <w:sz w:val="24"/>
          <w:szCs w:val="24"/>
        </w:rPr>
      </w:pPr>
    </w:p>
    <w:p w14:paraId="5D432198" w14:textId="77777777" w:rsidR="00907695" w:rsidRPr="004524A3" w:rsidRDefault="00907695" w:rsidP="00AD148D">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4524A3">
        <w:rPr>
          <w:rFonts w:ascii="Times New Roman" w:eastAsia="Times New Roman" w:hAnsi="Times New Roman" w:cs="Times New Roman"/>
          <w:b/>
          <w:bCs/>
          <w:sz w:val="24"/>
          <w:szCs w:val="24"/>
        </w:rPr>
        <w:t>Literature Review</w:t>
      </w:r>
    </w:p>
    <w:p w14:paraId="0A1C6E05" w14:textId="77777777" w:rsidR="00BD3E80" w:rsidRDefault="00BD3E80" w:rsidP="00AD148D">
      <w:pPr>
        <w:spacing w:before="100" w:beforeAutospacing="1" w:after="100" w:afterAutospacing="1" w:line="240" w:lineRule="auto"/>
        <w:jc w:val="both"/>
        <w:rPr>
          <w:rFonts w:ascii="Times New Roman" w:eastAsia="Times New Roman" w:hAnsi="Times New Roman" w:cs="Times New Roman"/>
          <w:b/>
          <w:sz w:val="24"/>
          <w:szCs w:val="24"/>
        </w:rPr>
      </w:pPr>
      <w:r w:rsidRPr="00BD3E80">
        <w:rPr>
          <w:rFonts w:ascii="Times New Roman" w:eastAsia="Times New Roman" w:hAnsi="Times New Roman" w:cs="Times New Roman"/>
          <w:b/>
          <w:sz w:val="24"/>
          <w:szCs w:val="24"/>
        </w:rPr>
        <w:t>Overview and Operational Dynamics of the CSSPS in Ghana</w:t>
      </w:r>
    </w:p>
    <w:p w14:paraId="5E9568BB" w14:textId="68186912" w:rsidR="00BD3E80" w:rsidRPr="00BD3E80" w:rsidRDefault="00BD3E80" w:rsidP="00AD148D">
      <w:pPr>
        <w:spacing w:before="100" w:beforeAutospacing="1" w:after="100" w:afterAutospacing="1" w:line="240" w:lineRule="auto"/>
        <w:jc w:val="both"/>
        <w:rPr>
          <w:rFonts w:ascii="Times New Roman" w:eastAsia="Times New Roman" w:hAnsi="Times New Roman" w:cs="Times New Roman"/>
          <w:sz w:val="24"/>
          <w:szCs w:val="24"/>
        </w:rPr>
      </w:pPr>
      <w:r w:rsidRPr="00BD3E80">
        <w:rPr>
          <w:rFonts w:ascii="Times New Roman" w:eastAsia="Times New Roman" w:hAnsi="Times New Roman" w:cs="Times New Roman"/>
          <w:sz w:val="24"/>
          <w:szCs w:val="24"/>
        </w:rPr>
        <w:t xml:space="preserve">The implementation of Ghana’s Computerized School Selection and Placement System (CSSPS) in 2005 marked a significant transformation in the country's educational landscape, particularly in managing the transition of students from junior high school (JHS) to senior high school (SHS). </w:t>
      </w:r>
      <w:r>
        <w:rPr>
          <w:rFonts w:ascii="Times New Roman" w:eastAsia="Times New Roman" w:hAnsi="Times New Roman" w:cs="Times New Roman"/>
          <w:sz w:val="24"/>
          <w:szCs w:val="24"/>
        </w:rPr>
        <w:t>Before</w:t>
      </w:r>
      <w:r w:rsidRPr="00BD3E80">
        <w:rPr>
          <w:rFonts w:ascii="Times New Roman" w:eastAsia="Times New Roman" w:hAnsi="Times New Roman" w:cs="Times New Roman"/>
          <w:sz w:val="24"/>
          <w:szCs w:val="24"/>
        </w:rPr>
        <w:t xml:space="preserve"> its introduction, student p</w:t>
      </w:r>
      <w:r>
        <w:rPr>
          <w:rFonts w:ascii="Times New Roman" w:eastAsia="Times New Roman" w:hAnsi="Times New Roman" w:cs="Times New Roman"/>
          <w:sz w:val="24"/>
          <w:szCs w:val="24"/>
        </w:rPr>
        <w:t>lacement was conducted manually</w:t>
      </w:r>
      <w:r w:rsidR="00BF5B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D3E80">
        <w:rPr>
          <w:rFonts w:ascii="Times New Roman" w:eastAsia="Times New Roman" w:hAnsi="Times New Roman" w:cs="Times New Roman"/>
          <w:sz w:val="24"/>
          <w:szCs w:val="24"/>
        </w:rPr>
        <w:t>a process marred by inefficiencies, favoritism, and a lack of transparency (Owusu-Ansah, 2015). These traditional approaches not only delayed placements but disproportionately disadvantaged students in less privileged regions, further entrenching educational inequ</w:t>
      </w:r>
      <w:r>
        <w:rPr>
          <w:rFonts w:ascii="Times New Roman" w:eastAsia="Times New Roman" w:hAnsi="Times New Roman" w:cs="Times New Roman"/>
          <w:sz w:val="24"/>
          <w:szCs w:val="24"/>
        </w:rPr>
        <w:t>ities (Adjei &amp; Agyemang, 2018).</w:t>
      </w:r>
    </w:p>
    <w:p w14:paraId="3852EDA1" w14:textId="0A54AC6D" w:rsidR="00BD3E80" w:rsidRPr="00BD3E80" w:rsidRDefault="00BD3E80" w:rsidP="00AD148D">
      <w:pPr>
        <w:spacing w:before="100" w:beforeAutospacing="1" w:after="100" w:afterAutospacing="1" w:line="240" w:lineRule="auto"/>
        <w:jc w:val="both"/>
        <w:rPr>
          <w:rFonts w:ascii="Times New Roman" w:eastAsia="Times New Roman" w:hAnsi="Times New Roman" w:cs="Times New Roman"/>
          <w:sz w:val="24"/>
          <w:szCs w:val="24"/>
        </w:rPr>
      </w:pPr>
      <w:r w:rsidRPr="00BD3E80">
        <w:rPr>
          <w:rFonts w:ascii="Times New Roman" w:eastAsia="Times New Roman" w:hAnsi="Times New Roman" w:cs="Times New Roman"/>
          <w:sz w:val="24"/>
          <w:szCs w:val="24"/>
        </w:rPr>
        <w:t>To address these concerns, the Ghanaian government introduced the CSSPS as a digital placement mechanism designed to enhance fairness and reduce logistical complications associated with manual processes (Mensah, 2020). According to Gyaase and Gyamfi (2012), the CSSPS also aligns with broader e-governance principles by promoting transparency, reducing human biases, and automating public service delivery in the education sector (Pa</w:t>
      </w:r>
      <w:r>
        <w:rPr>
          <w:rFonts w:ascii="Times New Roman" w:eastAsia="Times New Roman" w:hAnsi="Times New Roman" w:cs="Times New Roman"/>
          <w:sz w:val="24"/>
          <w:szCs w:val="24"/>
        </w:rPr>
        <w:t>tnaik, Pattnaik &amp; Singh, 2020).</w:t>
      </w:r>
    </w:p>
    <w:p w14:paraId="39BF0EEE" w14:textId="50E84696" w:rsidR="00BD3E80" w:rsidRPr="00BD3E80" w:rsidRDefault="00BD3E80" w:rsidP="00AD148D">
      <w:pPr>
        <w:spacing w:before="100" w:beforeAutospacing="1" w:after="100" w:afterAutospacing="1" w:line="240" w:lineRule="auto"/>
        <w:jc w:val="both"/>
        <w:rPr>
          <w:rFonts w:ascii="Times New Roman" w:eastAsia="Times New Roman" w:hAnsi="Times New Roman" w:cs="Times New Roman"/>
          <w:sz w:val="24"/>
          <w:szCs w:val="24"/>
        </w:rPr>
      </w:pPr>
      <w:r w:rsidRPr="00BD3E80">
        <w:rPr>
          <w:rFonts w:ascii="Times New Roman" w:eastAsia="Times New Roman" w:hAnsi="Times New Roman" w:cs="Times New Roman"/>
          <w:sz w:val="24"/>
          <w:szCs w:val="24"/>
        </w:rPr>
        <w:t xml:space="preserve">Administered by the Ghana Education Service (GES), the CSSPS is responsible for placing students who have completed the Basic Education Certificate Examination (BECE) into SHS or Technical and Vocational Education and Training (TVET) institutions. BECE candidates select five schools in order of preference, indicate their desired programs of study and residential status (Day or Boarding), and must also choose a compulsory Day option from Category D schools within their locality (Ghana Education Service, 2023). These selections are facilitated through a school </w:t>
      </w:r>
      <w:r w:rsidRPr="00BD3E80">
        <w:rPr>
          <w:rFonts w:ascii="Times New Roman" w:eastAsia="Times New Roman" w:hAnsi="Times New Roman" w:cs="Times New Roman"/>
          <w:sz w:val="24"/>
          <w:szCs w:val="24"/>
        </w:rPr>
        <w:lastRenderedPageBreak/>
        <w:t>register and supervised by school authorities and parents. Once completed, the data is uploaded by District Examination Officers to the West African Exam</w:t>
      </w:r>
      <w:r>
        <w:rPr>
          <w:rFonts w:ascii="Times New Roman" w:eastAsia="Times New Roman" w:hAnsi="Times New Roman" w:cs="Times New Roman"/>
          <w:sz w:val="24"/>
          <w:szCs w:val="24"/>
        </w:rPr>
        <w:t>inations Council (WAEC) system.</w:t>
      </w:r>
    </w:p>
    <w:p w14:paraId="045ADCA6" w14:textId="641E7F89" w:rsidR="00BD3E80" w:rsidRPr="00BD3E80" w:rsidRDefault="00BD3E80" w:rsidP="00AD148D">
      <w:pPr>
        <w:spacing w:before="100" w:beforeAutospacing="1" w:after="100" w:afterAutospacing="1" w:line="240" w:lineRule="auto"/>
        <w:jc w:val="both"/>
        <w:rPr>
          <w:rFonts w:ascii="Times New Roman" w:eastAsia="Times New Roman" w:hAnsi="Times New Roman" w:cs="Times New Roman"/>
          <w:sz w:val="24"/>
          <w:szCs w:val="24"/>
        </w:rPr>
      </w:pPr>
      <w:r w:rsidRPr="00BD3E80">
        <w:rPr>
          <w:rFonts w:ascii="Times New Roman" w:eastAsia="Times New Roman" w:hAnsi="Times New Roman" w:cs="Times New Roman"/>
          <w:sz w:val="24"/>
          <w:szCs w:val="24"/>
        </w:rPr>
        <w:t>Candidates can verify their school selections through an SMS platform. Upon release of BECE results, an automated algorithm uses candidates’ performance in core and elective subjects to determine placements, prioritizing merit and declared preferences. In cases of oversubscription, a tie-breaking mechanism is employed based on aggregate scores. Students access their placement outcomes via SMS or an online portal. Those who do not receive automatic placement are directed to a self-placement system to choose from schools with available space. Manual placements are reserved for special categories such as gifted students or seminarians (Ghana Education Service,</w:t>
      </w:r>
      <w:r>
        <w:rPr>
          <w:rFonts w:ascii="Times New Roman" w:eastAsia="Times New Roman" w:hAnsi="Times New Roman" w:cs="Times New Roman"/>
          <w:sz w:val="24"/>
          <w:szCs w:val="24"/>
        </w:rPr>
        <w:t xml:space="preserve"> 2023).</w:t>
      </w:r>
    </w:p>
    <w:p w14:paraId="73436A4D" w14:textId="7C520E0B" w:rsidR="00BD3E80" w:rsidRDefault="00BD3E80" w:rsidP="00AD148D">
      <w:pPr>
        <w:spacing w:before="100" w:beforeAutospacing="1" w:after="100" w:afterAutospacing="1" w:line="240" w:lineRule="auto"/>
        <w:jc w:val="both"/>
        <w:rPr>
          <w:rFonts w:ascii="Times New Roman" w:eastAsia="Times New Roman" w:hAnsi="Times New Roman" w:cs="Times New Roman"/>
          <w:sz w:val="24"/>
          <w:szCs w:val="24"/>
        </w:rPr>
      </w:pPr>
      <w:r w:rsidRPr="00BD3E80">
        <w:rPr>
          <w:rFonts w:ascii="Times New Roman" w:eastAsia="Times New Roman" w:hAnsi="Times New Roman" w:cs="Times New Roman"/>
          <w:sz w:val="24"/>
          <w:szCs w:val="24"/>
        </w:rPr>
        <w:t>While the CSSPS has significantly improved placement transparency and efficiency compared to the former manual system (A</w:t>
      </w:r>
      <w:r>
        <w:rPr>
          <w:rFonts w:ascii="Times New Roman" w:eastAsia="Times New Roman" w:hAnsi="Times New Roman" w:cs="Times New Roman"/>
          <w:sz w:val="24"/>
          <w:szCs w:val="24"/>
        </w:rPr>
        <w:t xml:space="preserve">jayi, 2009), challenges persist, </w:t>
      </w:r>
      <w:r w:rsidRPr="00BD3E80">
        <w:rPr>
          <w:rFonts w:ascii="Times New Roman" w:eastAsia="Times New Roman" w:hAnsi="Times New Roman" w:cs="Times New Roman"/>
          <w:sz w:val="24"/>
          <w:szCs w:val="24"/>
        </w:rPr>
        <w:t>particularly regarding equity and operational efficiency. Studies continue to highlight gaps in the system's ability to ensure fair access to preferred schools, especially among students from disadvantaged backgrounds (Asare &amp; Osei, 2018). These limitations underscore the need for further refinement of the CSSPS to enhance its responsiveness to students' diverse needs and circumstances.</w:t>
      </w:r>
    </w:p>
    <w:p w14:paraId="758D846E" w14:textId="0943B947" w:rsidR="007554E2" w:rsidRPr="004524A3" w:rsidRDefault="007554E2" w:rsidP="00AD148D">
      <w:pPr>
        <w:spacing w:before="100" w:beforeAutospacing="1" w:after="100" w:afterAutospacing="1" w:line="240" w:lineRule="auto"/>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 xml:space="preserve">Equity Challenges in </w:t>
      </w:r>
      <w:r w:rsidR="0029351F">
        <w:rPr>
          <w:rFonts w:ascii="Times New Roman" w:eastAsia="Times New Roman" w:hAnsi="Times New Roman" w:cs="Times New Roman"/>
          <w:b/>
          <w:sz w:val="24"/>
          <w:szCs w:val="24"/>
        </w:rPr>
        <w:t>Ghana’s</w:t>
      </w:r>
      <w:r w:rsidRPr="004524A3">
        <w:rPr>
          <w:rFonts w:ascii="Times New Roman" w:eastAsia="Times New Roman" w:hAnsi="Times New Roman" w:cs="Times New Roman"/>
          <w:b/>
          <w:sz w:val="24"/>
          <w:szCs w:val="24"/>
        </w:rPr>
        <w:t xml:space="preserve"> CSSPS</w:t>
      </w:r>
    </w:p>
    <w:p w14:paraId="4D5026D3" w14:textId="421E351B" w:rsidR="0002250A" w:rsidRPr="0002250A" w:rsidRDefault="00E71174" w:rsidP="00AD148D">
      <w:pPr>
        <w:spacing w:before="100" w:beforeAutospacing="1" w:after="100" w:afterAutospacing="1" w:line="240" w:lineRule="auto"/>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 </w:t>
      </w:r>
      <w:r w:rsidR="0002250A" w:rsidRPr="0002250A">
        <w:rPr>
          <w:rFonts w:ascii="Times New Roman" w:eastAsia="Times New Roman" w:hAnsi="Times New Roman" w:cs="Times New Roman"/>
          <w:sz w:val="24"/>
          <w:szCs w:val="24"/>
        </w:rPr>
        <w:t>One major equity concern in Gh</w:t>
      </w:r>
      <w:r w:rsidR="0002250A">
        <w:rPr>
          <w:rFonts w:ascii="Times New Roman" w:eastAsia="Times New Roman" w:hAnsi="Times New Roman" w:cs="Times New Roman"/>
          <w:sz w:val="24"/>
          <w:szCs w:val="24"/>
        </w:rPr>
        <w:t>ana’s CSSPS</w:t>
      </w:r>
      <w:r w:rsidR="0002250A" w:rsidRPr="0002250A">
        <w:rPr>
          <w:rFonts w:ascii="Times New Roman" w:eastAsia="Times New Roman" w:hAnsi="Times New Roman" w:cs="Times New Roman"/>
          <w:sz w:val="24"/>
          <w:szCs w:val="24"/>
        </w:rPr>
        <w:t xml:space="preserve"> is the limited alignment between student preferences and actual school placements. Research estimates that approximately 46% of Junior High School (JHS) students each year are not placed in their preferred Senior High Schools (SHSs) (The Conversation, 2022). This mismatch can lead to decreased motivation, student dissatisfaction, and even attrition, particularly among students from low-income backgrounds who lack the resources to pursue alternative options such as transfers (Babah et al., 2020; Gyamfi, 2023; Osei, 2021; Tamanja</w:t>
      </w:r>
      <w:r w:rsidR="0002250A">
        <w:rPr>
          <w:rFonts w:ascii="Times New Roman" w:eastAsia="Times New Roman" w:hAnsi="Times New Roman" w:cs="Times New Roman"/>
          <w:sz w:val="24"/>
          <w:szCs w:val="24"/>
        </w:rPr>
        <w:t xml:space="preserve"> &amp; Pajibo, 2019; Mensah, 2020).</w:t>
      </w:r>
    </w:p>
    <w:p w14:paraId="4D134CF4" w14:textId="5A57D8C2" w:rsidR="0002250A" w:rsidRPr="0002250A" w:rsidRDefault="0002250A" w:rsidP="00AD148D">
      <w:pPr>
        <w:spacing w:before="100" w:beforeAutospacing="1" w:after="100" w:afterAutospacing="1" w:line="240" w:lineRule="auto"/>
        <w:jc w:val="both"/>
        <w:rPr>
          <w:rFonts w:ascii="Times New Roman" w:eastAsia="Times New Roman" w:hAnsi="Times New Roman" w:cs="Times New Roman"/>
          <w:sz w:val="24"/>
          <w:szCs w:val="24"/>
        </w:rPr>
      </w:pPr>
      <w:r w:rsidRPr="0002250A">
        <w:rPr>
          <w:rFonts w:ascii="Times New Roman" w:eastAsia="Times New Roman" w:hAnsi="Times New Roman" w:cs="Times New Roman"/>
          <w:sz w:val="24"/>
          <w:szCs w:val="24"/>
        </w:rPr>
        <w:t xml:space="preserve">Preference-based placement systems have been shown to improve student engagement, satisfaction, and academic performance (Schneider &amp; Buckley, 2002; Hoxworth, 2020). However, oversubscription of top-tier schools creates a structural limitation. For example, Isare (2010) reported that while Wesley Girls’ High School had only 300 available spaces, over 12,000 students selected it as their first choice. Such disparities reveal the CSSPS's difficulty in meeting </w:t>
      </w:r>
      <w:r>
        <w:rPr>
          <w:rFonts w:ascii="Times New Roman" w:eastAsia="Times New Roman" w:hAnsi="Times New Roman" w:cs="Times New Roman"/>
          <w:sz w:val="24"/>
          <w:szCs w:val="24"/>
        </w:rPr>
        <w:t>demand while preserving equity.</w:t>
      </w:r>
    </w:p>
    <w:p w14:paraId="480DADCD" w14:textId="741182C1" w:rsidR="0002250A" w:rsidRPr="0002250A" w:rsidRDefault="0002250A" w:rsidP="00AD148D">
      <w:pPr>
        <w:spacing w:before="100" w:beforeAutospacing="1" w:after="100" w:afterAutospacing="1" w:line="240" w:lineRule="auto"/>
        <w:jc w:val="both"/>
        <w:rPr>
          <w:rFonts w:ascii="Times New Roman" w:eastAsia="Times New Roman" w:hAnsi="Times New Roman" w:cs="Times New Roman"/>
          <w:sz w:val="24"/>
          <w:szCs w:val="24"/>
        </w:rPr>
      </w:pPr>
      <w:r w:rsidRPr="0002250A">
        <w:rPr>
          <w:rFonts w:ascii="Times New Roman" w:eastAsia="Times New Roman" w:hAnsi="Times New Roman" w:cs="Times New Roman"/>
          <w:sz w:val="24"/>
          <w:szCs w:val="24"/>
        </w:rPr>
        <w:t xml:space="preserve">In addition to preference mismatches, the 30% priority placement policy further complicates equitable access. This policy reserves 30% of places in Category “A” SHSs for students from public JHSs, with the remaining 70% open to all applicants. While intended to promote inclusion, critics argue it disadvantages private school students, many of whom come from underserved communities. According to Damasus Tuurosong of the Ghana National Association of Private Schools (GNAPS), the policy undermines meritocracy and unfairly penalizes students from private institutions seeking quality education (GNAPS, 2024a–c). GNAPS has formally petitioned the Commission on Human Rights and Administrative Justice (CHRAJ) to review </w:t>
      </w:r>
      <w:r>
        <w:rPr>
          <w:rFonts w:ascii="Times New Roman" w:eastAsia="Times New Roman" w:hAnsi="Times New Roman" w:cs="Times New Roman"/>
          <w:sz w:val="24"/>
          <w:szCs w:val="24"/>
        </w:rPr>
        <w:t xml:space="preserve">the policy’s constitutionality.  </w:t>
      </w:r>
      <w:r w:rsidRPr="0002250A">
        <w:rPr>
          <w:rFonts w:ascii="Times New Roman" w:eastAsia="Times New Roman" w:hAnsi="Times New Roman" w:cs="Times New Roman"/>
          <w:sz w:val="24"/>
          <w:szCs w:val="24"/>
        </w:rPr>
        <w:t xml:space="preserve">Scholars have echoed these concerns. Babah et al. (2020) argue that the system’s prioritization policies disproportionately benefit public school students and call for more equitable </w:t>
      </w:r>
      <w:r w:rsidRPr="0002250A">
        <w:rPr>
          <w:rFonts w:ascii="Times New Roman" w:eastAsia="Times New Roman" w:hAnsi="Times New Roman" w:cs="Times New Roman"/>
          <w:sz w:val="24"/>
          <w:szCs w:val="24"/>
        </w:rPr>
        <w:lastRenderedPageBreak/>
        <w:t>placement criteria. Similarly, Mensah (2020) found widespread stakeholder dissatisfaction with the current allocation model, particularly among private school representatives. Former CSSPS Coordinator Atta-Boateng (2019) also emphasized that many placement issues stem from avoidable policy decisions and recommended a comprehensive system review.</w:t>
      </w:r>
    </w:p>
    <w:p w14:paraId="2DE3E6B2" w14:textId="1F37BCCC" w:rsidR="0002250A" w:rsidRPr="0002250A" w:rsidRDefault="0002250A" w:rsidP="00AD148D">
      <w:pPr>
        <w:spacing w:before="100" w:beforeAutospacing="1" w:after="100" w:afterAutospacing="1" w:line="240" w:lineRule="auto"/>
        <w:jc w:val="both"/>
        <w:rPr>
          <w:rFonts w:ascii="Times New Roman" w:eastAsia="Times New Roman" w:hAnsi="Times New Roman" w:cs="Times New Roman"/>
          <w:sz w:val="24"/>
          <w:szCs w:val="24"/>
        </w:rPr>
      </w:pPr>
      <w:r w:rsidRPr="0002250A">
        <w:rPr>
          <w:rFonts w:ascii="Times New Roman" w:eastAsia="Times New Roman" w:hAnsi="Times New Roman" w:cs="Times New Roman"/>
          <w:sz w:val="24"/>
          <w:szCs w:val="24"/>
        </w:rPr>
        <w:t>Together, these studies point to structural inequities in the CSSPS that disproportionately affect certain student populations. Addressing these concerns is vital for ensuring that school placement policies uphold both fairness and access in Ghana’s education system.</w:t>
      </w:r>
    </w:p>
    <w:p w14:paraId="7FCFCD56" w14:textId="41BA962C" w:rsidR="00AB3024" w:rsidRPr="004524A3" w:rsidRDefault="00AB3024" w:rsidP="00AD148D">
      <w:pPr>
        <w:spacing w:before="100" w:beforeAutospacing="1" w:after="100" w:afterAutospacing="1" w:line="240" w:lineRule="auto"/>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 xml:space="preserve">Efficiency Challenges in </w:t>
      </w:r>
      <w:r w:rsidR="0002250A">
        <w:rPr>
          <w:rFonts w:ascii="Times New Roman" w:eastAsia="Times New Roman" w:hAnsi="Times New Roman" w:cs="Times New Roman"/>
          <w:b/>
          <w:sz w:val="24"/>
          <w:szCs w:val="24"/>
        </w:rPr>
        <w:t>Ghana’s</w:t>
      </w:r>
      <w:r w:rsidRPr="004524A3">
        <w:rPr>
          <w:rFonts w:ascii="Times New Roman" w:eastAsia="Times New Roman" w:hAnsi="Times New Roman" w:cs="Times New Roman"/>
          <w:b/>
          <w:sz w:val="24"/>
          <w:szCs w:val="24"/>
        </w:rPr>
        <w:t xml:space="preserve"> CSSPS</w:t>
      </w:r>
    </w:p>
    <w:p w14:paraId="1BC3636E" w14:textId="5CFCB7D5" w:rsidR="00CC221A" w:rsidRPr="00CC221A" w:rsidRDefault="00CC221A" w:rsidP="00AD148D">
      <w:pPr>
        <w:spacing w:before="100" w:beforeAutospacing="1" w:after="100" w:afterAutospacing="1" w:line="240" w:lineRule="auto"/>
        <w:jc w:val="both"/>
        <w:rPr>
          <w:rFonts w:ascii="Times New Roman" w:eastAsia="Times New Roman" w:hAnsi="Times New Roman" w:cs="Times New Roman"/>
          <w:sz w:val="24"/>
          <w:szCs w:val="24"/>
        </w:rPr>
      </w:pPr>
      <w:r w:rsidRPr="00CC221A">
        <w:rPr>
          <w:rFonts w:ascii="Times New Roman" w:eastAsia="Times New Roman" w:hAnsi="Times New Roman" w:cs="Times New Roman"/>
          <w:sz w:val="24"/>
          <w:szCs w:val="24"/>
        </w:rPr>
        <w:t>Since its inception, the</w:t>
      </w:r>
      <w:r>
        <w:rPr>
          <w:rFonts w:ascii="Times New Roman" w:eastAsia="Times New Roman" w:hAnsi="Times New Roman" w:cs="Times New Roman"/>
          <w:sz w:val="24"/>
          <w:szCs w:val="24"/>
        </w:rPr>
        <w:t xml:space="preserve"> CSSPS</w:t>
      </w:r>
      <w:r w:rsidRPr="00CC221A">
        <w:rPr>
          <w:rFonts w:ascii="Times New Roman" w:eastAsia="Times New Roman" w:hAnsi="Times New Roman" w:cs="Times New Roman"/>
          <w:sz w:val="24"/>
          <w:szCs w:val="24"/>
        </w:rPr>
        <w:t xml:space="preserve"> in Ghana has faced several efficiency-related challenges that hinder its ability to meet the diverse needs of students and stakeholders. One prominent issue is the system's limited use of student data in placement decisions. The CSSPS primarily relies on Basic Education Certificate Examination (BECE) scores, neglecting other important indicators such as student interests, aptitudes, and extracurricular achievements. This narrow focus on academic performance can obscure a holistic understanding of students’ potential, leading to misalignments between student profiles and school environments (Rosenbaum, 2001).</w:t>
      </w:r>
    </w:p>
    <w:p w14:paraId="31CA302E" w14:textId="70A7CE9A" w:rsidR="00CC221A" w:rsidRPr="00CC221A" w:rsidRDefault="00CC221A" w:rsidP="00AD148D">
      <w:pPr>
        <w:spacing w:before="100" w:beforeAutospacing="1" w:after="100" w:afterAutospacing="1" w:line="240" w:lineRule="auto"/>
        <w:jc w:val="both"/>
        <w:rPr>
          <w:rFonts w:ascii="Times New Roman" w:eastAsia="Times New Roman" w:hAnsi="Times New Roman" w:cs="Times New Roman"/>
          <w:sz w:val="24"/>
          <w:szCs w:val="24"/>
        </w:rPr>
      </w:pPr>
      <w:r w:rsidRPr="00CC221A">
        <w:rPr>
          <w:rFonts w:ascii="Times New Roman" w:eastAsia="Times New Roman" w:hAnsi="Times New Roman" w:cs="Times New Roman"/>
          <w:sz w:val="24"/>
          <w:szCs w:val="24"/>
        </w:rPr>
        <w:t>Several studies underscore the value of incorporating diverse data points in school placement decisions. Cohen and Hill (2000) and Schwartz et al. (2013) highlight that c</w:t>
      </w:r>
      <w:r>
        <w:rPr>
          <w:rFonts w:ascii="Times New Roman" w:eastAsia="Times New Roman" w:hAnsi="Times New Roman" w:cs="Times New Roman"/>
          <w:sz w:val="24"/>
          <w:szCs w:val="24"/>
        </w:rPr>
        <w:t xml:space="preserve">onsidering non-academic factors </w:t>
      </w:r>
      <w:r w:rsidRPr="00CC221A">
        <w:rPr>
          <w:rFonts w:ascii="Times New Roman" w:eastAsia="Times New Roman" w:hAnsi="Times New Roman" w:cs="Times New Roman"/>
          <w:sz w:val="24"/>
          <w:szCs w:val="24"/>
        </w:rPr>
        <w:t>such as interest</w:t>
      </w:r>
      <w:r>
        <w:rPr>
          <w:rFonts w:ascii="Times New Roman" w:eastAsia="Times New Roman" w:hAnsi="Times New Roman" w:cs="Times New Roman"/>
          <w:sz w:val="24"/>
          <w:szCs w:val="24"/>
        </w:rPr>
        <w:t xml:space="preserve">s and co-curricular involvement </w:t>
      </w:r>
      <w:r w:rsidRPr="00CC221A">
        <w:rPr>
          <w:rFonts w:ascii="Times New Roman" w:eastAsia="Times New Roman" w:hAnsi="Times New Roman" w:cs="Times New Roman"/>
          <w:sz w:val="24"/>
          <w:szCs w:val="24"/>
        </w:rPr>
        <w:t>can enhance personalization, improve student satisfaction, and foster long-term engagement. Parents and students often express frustration that the CSSPS fails to account for these dimensions, resulting in placements that overlook students’ broader capabilities (Owusu et al., 2022; Mensah &amp; Tutu, 2021).</w:t>
      </w:r>
    </w:p>
    <w:p w14:paraId="34A7178C" w14:textId="77777777" w:rsidR="00CC221A" w:rsidRPr="00CC221A" w:rsidRDefault="00CC221A" w:rsidP="00AD148D">
      <w:pPr>
        <w:spacing w:before="100" w:beforeAutospacing="1" w:after="100" w:afterAutospacing="1" w:line="240" w:lineRule="auto"/>
        <w:jc w:val="both"/>
        <w:rPr>
          <w:rFonts w:ascii="Times New Roman" w:eastAsia="Times New Roman" w:hAnsi="Times New Roman" w:cs="Times New Roman"/>
          <w:sz w:val="24"/>
          <w:szCs w:val="24"/>
        </w:rPr>
      </w:pPr>
      <w:r w:rsidRPr="00CC221A">
        <w:rPr>
          <w:rFonts w:ascii="Times New Roman" w:eastAsia="Times New Roman" w:hAnsi="Times New Roman" w:cs="Times New Roman"/>
          <w:sz w:val="24"/>
          <w:szCs w:val="24"/>
        </w:rPr>
        <w:t>Babah et al. (2020) argue that this overemphasis on academic scores risks ignoring students’ diverse talents, potentially leading to disengagement and lower performance. Similarly, Gyamfi (2023) emphasizes that extracurricular involvement contributes positively to students’ cognitive and socioemotional development, but the CSSPS currently lacks mechanisms to recognize or integrate such factors. Osei (2021) also stresses the need for a more comprehensive placement system that accounts for student strengths beyond academic achievement, particularly to support learners from marginalized backgrounds who may face structural barriers to excelling in standardized exams.</w:t>
      </w:r>
    </w:p>
    <w:p w14:paraId="093F309A" w14:textId="77777777" w:rsidR="00CC221A" w:rsidRPr="00CC221A" w:rsidRDefault="00CC221A" w:rsidP="00AD148D">
      <w:pPr>
        <w:spacing w:before="100" w:beforeAutospacing="1" w:after="100" w:afterAutospacing="1" w:line="240" w:lineRule="auto"/>
        <w:jc w:val="both"/>
        <w:rPr>
          <w:rFonts w:ascii="Times New Roman" w:eastAsia="Times New Roman" w:hAnsi="Times New Roman" w:cs="Times New Roman"/>
          <w:sz w:val="24"/>
          <w:szCs w:val="24"/>
        </w:rPr>
      </w:pPr>
      <w:r w:rsidRPr="00CC221A">
        <w:rPr>
          <w:rFonts w:ascii="Times New Roman" w:eastAsia="Times New Roman" w:hAnsi="Times New Roman" w:cs="Times New Roman"/>
          <w:sz w:val="24"/>
          <w:szCs w:val="24"/>
        </w:rPr>
        <w:t>Another major efficiency challenge lies in the centralized nature of the CSSPS and its inadequate feedback and complaint handling mechanisms. Centralized systems often struggle to accommodate the diverse and localized needs of their users. According to Kossyvaki et al. (2018) and McGuinn (2006), such systems can create a disconnect between administrative processes and the real-world experiences of students and parents, often leading to unresolved concerns and stakeholder dissatisfaction.</w:t>
      </w:r>
    </w:p>
    <w:p w14:paraId="58383625" w14:textId="77777777" w:rsidR="00CC221A" w:rsidRPr="00CC221A" w:rsidRDefault="00CC221A" w:rsidP="00AD148D">
      <w:pPr>
        <w:spacing w:before="100" w:beforeAutospacing="1" w:after="100" w:afterAutospacing="1" w:line="240" w:lineRule="auto"/>
        <w:jc w:val="both"/>
        <w:rPr>
          <w:rFonts w:ascii="Times New Roman" w:eastAsia="Times New Roman" w:hAnsi="Times New Roman" w:cs="Times New Roman"/>
          <w:sz w:val="24"/>
          <w:szCs w:val="24"/>
        </w:rPr>
      </w:pPr>
      <w:r w:rsidRPr="00CC221A">
        <w:rPr>
          <w:rFonts w:ascii="Times New Roman" w:eastAsia="Times New Roman" w:hAnsi="Times New Roman" w:cs="Times New Roman"/>
          <w:sz w:val="24"/>
          <w:szCs w:val="24"/>
        </w:rPr>
        <w:t xml:space="preserve">Timely and responsive feedback is essential in educational placement systems. Hattie and Timperley (2007) assert that feedback loops are crucial for continuous improvement. However, in the CSSPS, feedback channels are often underdeveloped or slow to respond. This inefficiency hampers the resolution of placement grievances and fosters mistrust among users (Baker, 2015; </w:t>
      </w:r>
      <w:r w:rsidRPr="00CC221A">
        <w:rPr>
          <w:rFonts w:ascii="Times New Roman" w:eastAsia="Times New Roman" w:hAnsi="Times New Roman" w:cs="Times New Roman"/>
          <w:sz w:val="24"/>
          <w:szCs w:val="24"/>
        </w:rPr>
        <w:lastRenderedPageBreak/>
        <w:t>Grubb, 2009). The CHS Alliance (2019) further supports this concern, noting that centralized systems frequently struggle with effective complaint resolution, thereby underscoring the need for decentralized or hybrid models to ensure responsiveness and improve user satisfaction.</w:t>
      </w:r>
    </w:p>
    <w:p w14:paraId="7F821E1A" w14:textId="77777777" w:rsidR="00CC221A" w:rsidRPr="00CC221A" w:rsidRDefault="00CC221A" w:rsidP="00AD148D">
      <w:pPr>
        <w:spacing w:before="100" w:beforeAutospacing="1" w:after="100" w:afterAutospacing="1" w:line="240" w:lineRule="auto"/>
        <w:jc w:val="both"/>
        <w:rPr>
          <w:rFonts w:ascii="Times New Roman" w:eastAsia="Times New Roman" w:hAnsi="Times New Roman" w:cs="Times New Roman"/>
          <w:sz w:val="24"/>
          <w:szCs w:val="24"/>
        </w:rPr>
      </w:pPr>
      <w:r w:rsidRPr="00CC221A">
        <w:rPr>
          <w:rFonts w:ascii="Times New Roman" w:eastAsia="Times New Roman" w:hAnsi="Times New Roman" w:cs="Times New Roman"/>
          <w:sz w:val="24"/>
          <w:szCs w:val="24"/>
        </w:rPr>
        <w:t>These efficiency challenges highlight critical gaps in the CSSPS’s design and implementation. Addressing them requires structural reforms that incorporate broader student data, decentralize feedback systems, and improve stakeholder engagement to ensure a more adaptive and equitable placement process.</w:t>
      </w:r>
    </w:p>
    <w:p w14:paraId="398387A3" w14:textId="219D6B1A" w:rsidR="00907695" w:rsidRPr="004524A3" w:rsidRDefault="00923102" w:rsidP="00AD148D">
      <w:pPr>
        <w:spacing w:before="100" w:beforeAutospacing="1" w:after="100" w:afterAutospacing="1" w:line="240" w:lineRule="auto"/>
        <w:jc w:val="both"/>
        <w:rPr>
          <w:rFonts w:ascii="Times New Roman" w:eastAsia="Times New Roman" w:hAnsi="Times New Roman" w:cs="Times New Roman"/>
          <w:sz w:val="24"/>
          <w:szCs w:val="24"/>
        </w:rPr>
      </w:pPr>
      <w:r w:rsidRPr="00923102">
        <w:rPr>
          <w:rFonts w:ascii="Times New Roman" w:eastAsia="Times New Roman" w:hAnsi="Times New Roman" w:cs="Times New Roman"/>
          <w:b/>
          <w:bCs/>
          <w:sz w:val="24"/>
          <w:szCs w:val="24"/>
        </w:rPr>
        <w:t>International Models of Student Placement Systems: Lessons for CSSPS Reform</w:t>
      </w:r>
    </w:p>
    <w:p w14:paraId="6D4F1165" w14:textId="77777777"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Student placement systems around the world offer valuable insights into how equity and efficiency challenges can be addressed through algorithmic fairness, holistic admissions, and decentralized governance. This section highlights international models and strategies that may inform reforms to Ghana’s Computerized School Selection and Placement System (CSSPS).</w:t>
      </w:r>
    </w:p>
    <w:p w14:paraId="0D5B4F13" w14:textId="77777777" w:rsidR="00923102" w:rsidRPr="00923102" w:rsidRDefault="00923102" w:rsidP="00AD148D">
      <w:pPr>
        <w:jc w:val="both"/>
        <w:rPr>
          <w:rFonts w:ascii="Times New Roman" w:eastAsia="Times New Roman" w:hAnsi="Times New Roman" w:cs="Times New Roman"/>
          <w:sz w:val="24"/>
          <w:szCs w:val="24"/>
        </w:rPr>
      </w:pPr>
    </w:p>
    <w:p w14:paraId="02F5374A" w14:textId="77777777" w:rsidR="00923102" w:rsidRPr="00923102" w:rsidRDefault="00923102" w:rsidP="00AD148D">
      <w:pPr>
        <w:jc w:val="both"/>
        <w:rPr>
          <w:rFonts w:ascii="Times New Roman" w:eastAsia="Times New Roman" w:hAnsi="Times New Roman" w:cs="Times New Roman"/>
          <w:b/>
          <w:sz w:val="24"/>
          <w:szCs w:val="24"/>
        </w:rPr>
      </w:pPr>
      <w:r w:rsidRPr="00923102">
        <w:rPr>
          <w:rFonts w:ascii="Times New Roman" w:eastAsia="Times New Roman" w:hAnsi="Times New Roman" w:cs="Times New Roman"/>
          <w:b/>
          <w:sz w:val="24"/>
          <w:szCs w:val="24"/>
        </w:rPr>
        <w:t>1. Matching Algorithms and Student Preferences</w:t>
      </w:r>
    </w:p>
    <w:p w14:paraId="60D840D8" w14:textId="42BAA0D2"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A foundational contribution to fair placement systems is the Deferred Acceptance Algorithm (DAA), introduced by Gale and Shapley (1962) in their seminal paper, College Admissions and the Stability of Marriage. The DAA allows students to submit ranked preferences for schools, while schools consider these applications based on capacity and applicant qualifications. Through an iterative process of acceptance and rejection, the algorithm matches students with schools in a way that minimizes preference mismatches and improves overall stability.</w:t>
      </w:r>
    </w:p>
    <w:p w14:paraId="633C8199" w14:textId="77777777" w:rsidR="00923102" w:rsidRPr="00923102" w:rsidRDefault="00923102" w:rsidP="00AD148D">
      <w:pPr>
        <w:jc w:val="both"/>
        <w:rPr>
          <w:rFonts w:ascii="Times New Roman" w:eastAsia="Times New Roman" w:hAnsi="Times New Roman" w:cs="Times New Roman"/>
          <w:sz w:val="24"/>
          <w:szCs w:val="24"/>
        </w:rPr>
      </w:pPr>
    </w:p>
    <w:p w14:paraId="2344B056" w14:textId="77777777"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This algorithm has been successfully applied in school placement systems in countries such as the United States, the United Kingdom, and Australia (Abdulkadiroğlu, Pathak, &amp; Roth, 2005; Abdulkadiroğlu &amp; Sönmez, 2003). These implementations have demonstrated improvements in placement satisfaction, reduced oversubscription conflicts, and increased transparency. Adapting the DAA for CSSPS could help resolve current mismatches between student preferences and placements, especially in oversubscribed schools, as illustrated by Isare (2010).</w:t>
      </w:r>
    </w:p>
    <w:p w14:paraId="1D2DA059" w14:textId="77777777" w:rsidR="00923102" w:rsidRPr="00923102" w:rsidRDefault="00923102" w:rsidP="00AD148D">
      <w:pPr>
        <w:jc w:val="both"/>
        <w:rPr>
          <w:rFonts w:ascii="Times New Roman" w:eastAsia="Times New Roman" w:hAnsi="Times New Roman" w:cs="Times New Roman"/>
          <w:sz w:val="24"/>
          <w:szCs w:val="24"/>
        </w:rPr>
      </w:pPr>
    </w:p>
    <w:p w14:paraId="7A6D2648" w14:textId="77777777" w:rsidR="00923102" w:rsidRPr="00923102" w:rsidRDefault="00923102" w:rsidP="00AD148D">
      <w:pPr>
        <w:jc w:val="both"/>
        <w:rPr>
          <w:rFonts w:ascii="Times New Roman" w:eastAsia="Times New Roman" w:hAnsi="Times New Roman" w:cs="Times New Roman"/>
          <w:b/>
          <w:sz w:val="24"/>
          <w:szCs w:val="24"/>
        </w:rPr>
      </w:pPr>
      <w:r w:rsidRPr="00923102">
        <w:rPr>
          <w:rFonts w:ascii="Times New Roman" w:eastAsia="Times New Roman" w:hAnsi="Times New Roman" w:cs="Times New Roman"/>
          <w:b/>
          <w:sz w:val="24"/>
          <w:szCs w:val="24"/>
        </w:rPr>
        <w:t>2. Holistic Admissions and Non-Academic Criteria</w:t>
      </w:r>
    </w:p>
    <w:p w14:paraId="1195EAFD" w14:textId="37A4FED1"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Several countries have adopted placement models that incorporate multiple student characteristics beyond academic scores. In the United States, many universities empl</w:t>
      </w:r>
      <w:r>
        <w:rPr>
          <w:rFonts w:ascii="Times New Roman" w:eastAsia="Times New Roman" w:hAnsi="Times New Roman" w:cs="Times New Roman"/>
          <w:sz w:val="24"/>
          <w:szCs w:val="24"/>
        </w:rPr>
        <w:t xml:space="preserve">oy holistic admissions criteria </w:t>
      </w:r>
      <w:r w:rsidRPr="00923102">
        <w:rPr>
          <w:rFonts w:ascii="Times New Roman" w:eastAsia="Times New Roman" w:hAnsi="Times New Roman" w:cs="Times New Roman"/>
          <w:sz w:val="24"/>
          <w:szCs w:val="24"/>
        </w:rPr>
        <w:t>considering grades, extracurricular activities, personal essays, and teacher recommendations (Cohen &amp; Hill, 2000). The University of California, for example, has reduced reliance on standardized testing in favor of comprehensive student profiles (U</w:t>
      </w:r>
      <w:r>
        <w:rPr>
          <w:rFonts w:ascii="Times New Roman" w:eastAsia="Times New Roman" w:hAnsi="Times New Roman" w:cs="Times New Roman"/>
          <w:sz w:val="24"/>
          <w:szCs w:val="24"/>
        </w:rPr>
        <w:t>niversity of California, 2020).</w:t>
      </w:r>
    </w:p>
    <w:p w14:paraId="1157B53F" w14:textId="07B53FE4"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lastRenderedPageBreak/>
        <w:t>Finland’s vocational education and training (VET) system integrates academic learning with career guidance, aligning students’ interests and skills with their educational paths (Sahlberg, 2011). Similarly, Germany’s dual education model blends apprenticeships and classroom learning to match students to vocational tracks based on p</w:t>
      </w:r>
      <w:r>
        <w:rPr>
          <w:rFonts w:ascii="Times New Roman" w:eastAsia="Times New Roman" w:hAnsi="Times New Roman" w:cs="Times New Roman"/>
          <w:sz w:val="24"/>
          <w:szCs w:val="24"/>
        </w:rPr>
        <w:t>ractical ability (Euler, 2013).</w:t>
      </w:r>
    </w:p>
    <w:p w14:paraId="6CD0DD91" w14:textId="77777777"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In Singapore, student placement considers co-curricular activities and personal development alongside academic records. The Ministry of Education aligns placements with both achievements and aspirations (Ng, 2014). Likewise, New Zealand’s National Certificate of Educational Achievement (NCEA) permits students to earn credits across academic, vocational, and extracurricular domains (Ministry of Education, New Zealand, 2018). These models support more personalized and inclusive placement strategies that the CSSPS could adopt to recognize diverse student capabilities.</w:t>
      </w:r>
    </w:p>
    <w:p w14:paraId="23D0FFE9" w14:textId="77777777" w:rsidR="00923102" w:rsidRPr="00923102" w:rsidRDefault="00923102" w:rsidP="00AD148D">
      <w:pPr>
        <w:jc w:val="both"/>
        <w:rPr>
          <w:rFonts w:ascii="Times New Roman" w:eastAsia="Times New Roman" w:hAnsi="Times New Roman" w:cs="Times New Roman"/>
          <w:sz w:val="24"/>
          <w:szCs w:val="24"/>
        </w:rPr>
      </w:pPr>
    </w:p>
    <w:p w14:paraId="23F6476B" w14:textId="77777777" w:rsidR="00923102" w:rsidRPr="00923102" w:rsidRDefault="00923102" w:rsidP="00AD148D">
      <w:pPr>
        <w:jc w:val="both"/>
        <w:rPr>
          <w:rFonts w:ascii="Times New Roman" w:eastAsia="Times New Roman" w:hAnsi="Times New Roman" w:cs="Times New Roman"/>
          <w:b/>
          <w:sz w:val="24"/>
          <w:szCs w:val="24"/>
        </w:rPr>
      </w:pPr>
      <w:r w:rsidRPr="00923102">
        <w:rPr>
          <w:rFonts w:ascii="Times New Roman" w:eastAsia="Times New Roman" w:hAnsi="Times New Roman" w:cs="Times New Roman"/>
          <w:b/>
          <w:sz w:val="24"/>
          <w:szCs w:val="24"/>
        </w:rPr>
        <w:t>3. Decentralization, Feedback, and Flexibility</w:t>
      </w:r>
    </w:p>
    <w:p w14:paraId="407D5008" w14:textId="6920CD9B"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 xml:space="preserve">Decentralized systems allow for more responsive placement procedures and better stakeholder engagement. In the Netherlands, school choice is managed at the municipal level. Parents and schools collaborate on placements, taking into account academic performance, personal circumstances, and social equity factors (Kons, </w:t>
      </w:r>
      <w:r>
        <w:rPr>
          <w:rFonts w:ascii="Times New Roman" w:eastAsia="Times New Roman" w:hAnsi="Times New Roman" w:cs="Times New Roman"/>
          <w:sz w:val="24"/>
          <w:szCs w:val="24"/>
        </w:rPr>
        <w:t>2016). A robust feedback system</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23102">
        <w:rPr>
          <w:rFonts w:ascii="Times New Roman" w:eastAsia="Times New Roman" w:hAnsi="Times New Roman" w:cs="Times New Roman"/>
          <w:sz w:val="24"/>
          <w:szCs w:val="24"/>
        </w:rPr>
        <w:t>including online platform</w:t>
      </w:r>
      <w:r>
        <w:rPr>
          <w:rFonts w:ascii="Times New Roman" w:eastAsia="Times New Roman" w:hAnsi="Times New Roman" w:cs="Times New Roman"/>
          <w:sz w:val="24"/>
          <w:szCs w:val="24"/>
        </w:rPr>
        <w:t>s and municipal support offices</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23102">
        <w:rPr>
          <w:rFonts w:ascii="Times New Roman" w:eastAsia="Times New Roman" w:hAnsi="Times New Roman" w:cs="Times New Roman"/>
          <w:sz w:val="24"/>
          <w:szCs w:val="24"/>
        </w:rPr>
        <w:t>facilitates transparent and timely grievance resolution.</w:t>
      </w:r>
    </w:p>
    <w:p w14:paraId="58B99D00" w14:textId="2069349C"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The United Kingdom’s Post-16 Pathways System offers studen</w:t>
      </w:r>
      <w:r>
        <w:rPr>
          <w:rFonts w:ascii="Times New Roman" w:eastAsia="Times New Roman" w:hAnsi="Times New Roman" w:cs="Times New Roman"/>
          <w:sz w:val="24"/>
          <w:szCs w:val="24"/>
        </w:rPr>
        <w:t>ts flexible educational choices</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23102">
        <w:rPr>
          <w:rFonts w:ascii="Times New Roman" w:eastAsia="Times New Roman" w:hAnsi="Times New Roman" w:cs="Times New Roman"/>
          <w:sz w:val="24"/>
          <w:szCs w:val="24"/>
        </w:rPr>
        <w:t>academic (A-Levels) or voc</w:t>
      </w:r>
      <w:r>
        <w:rPr>
          <w:rFonts w:ascii="Times New Roman" w:eastAsia="Times New Roman" w:hAnsi="Times New Roman" w:cs="Times New Roman"/>
          <w:sz w:val="24"/>
          <w:szCs w:val="24"/>
        </w:rPr>
        <w:t>ational (BTEC, apprenticeships)</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23102">
        <w:rPr>
          <w:rFonts w:ascii="Times New Roman" w:eastAsia="Times New Roman" w:hAnsi="Times New Roman" w:cs="Times New Roman"/>
          <w:sz w:val="24"/>
          <w:szCs w:val="24"/>
        </w:rPr>
        <w:t>alongside structured career counseling and advisory services (Department for Education [DfE], 2018). Its complaint handling system includes multi-tiered redress options that enhance responsiveness and institutional trust (McGuinn, 2006).</w:t>
      </w:r>
    </w:p>
    <w:p w14:paraId="63C8F6D8" w14:textId="77777777" w:rsidR="00923102" w:rsidRPr="00923102" w:rsidRDefault="00923102" w:rsidP="00AD148D">
      <w:pPr>
        <w:jc w:val="both"/>
        <w:rPr>
          <w:rFonts w:ascii="Times New Roman" w:eastAsia="Times New Roman" w:hAnsi="Times New Roman" w:cs="Times New Roman"/>
          <w:sz w:val="24"/>
          <w:szCs w:val="24"/>
        </w:rPr>
      </w:pPr>
    </w:p>
    <w:p w14:paraId="72E0D37D" w14:textId="4D011E7D" w:rsidR="00923102" w:rsidRPr="00923102"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App</w:t>
      </w:r>
      <w:r>
        <w:rPr>
          <w:rFonts w:ascii="Times New Roman" w:eastAsia="Times New Roman" w:hAnsi="Times New Roman" w:cs="Times New Roman"/>
          <w:sz w:val="24"/>
          <w:szCs w:val="24"/>
        </w:rPr>
        <w:t>lying elements of these systems</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23102">
        <w:rPr>
          <w:rFonts w:ascii="Times New Roman" w:eastAsia="Times New Roman" w:hAnsi="Times New Roman" w:cs="Times New Roman"/>
          <w:sz w:val="24"/>
          <w:szCs w:val="24"/>
        </w:rPr>
        <w:t>such as decentralized complaint resolution, career guidance, and diversified placement track</w:t>
      </w:r>
      <w:r>
        <w:rPr>
          <w:rFonts w:ascii="Times New Roman" w:eastAsia="Times New Roman" w:hAnsi="Times New Roman" w:cs="Times New Roman"/>
          <w:sz w:val="24"/>
          <w:szCs w:val="24"/>
        </w:rPr>
        <w:t>s</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23102">
        <w:rPr>
          <w:rFonts w:ascii="Times New Roman" w:eastAsia="Times New Roman" w:hAnsi="Times New Roman" w:cs="Times New Roman"/>
          <w:sz w:val="24"/>
          <w:szCs w:val="24"/>
        </w:rPr>
        <w:t>can strengthen the CSSPS’s capacity to serve varied learner needs while improving pu</w:t>
      </w:r>
      <w:r>
        <w:rPr>
          <w:rFonts w:ascii="Times New Roman" w:eastAsia="Times New Roman" w:hAnsi="Times New Roman" w:cs="Times New Roman"/>
          <w:sz w:val="24"/>
          <w:szCs w:val="24"/>
        </w:rPr>
        <w:t>blic confidence in the process.</w:t>
      </w:r>
    </w:p>
    <w:p w14:paraId="561D61C9" w14:textId="21430394" w:rsidR="00623D26" w:rsidRDefault="00923102" w:rsidP="00AD148D">
      <w:pPr>
        <w:jc w:val="both"/>
        <w:rPr>
          <w:rFonts w:ascii="Times New Roman" w:eastAsia="Times New Roman" w:hAnsi="Times New Roman" w:cs="Times New Roman"/>
          <w:sz w:val="24"/>
          <w:szCs w:val="24"/>
        </w:rPr>
      </w:pPr>
      <w:r w:rsidRPr="00923102">
        <w:rPr>
          <w:rFonts w:ascii="Times New Roman" w:eastAsia="Times New Roman" w:hAnsi="Times New Roman" w:cs="Times New Roman"/>
          <w:sz w:val="24"/>
          <w:szCs w:val="24"/>
        </w:rPr>
        <w:t>Together, these international models demonstrate that integrating student preferences, non-academic factors, and localized decision-making can promote fairness, improve satisfaction, and increase placement efficiency. Ghana’s CSSPS can benefit from these global practices to create a more equitable and responsive placement system.</w:t>
      </w:r>
    </w:p>
    <w:p w14:paraId="7BF8A648" w14:textId="77777777" w:rsidR="00AD1E20" w:rsidRPr="004524A3" w:rsidRDefault="00AD1E20" w:rsidP="00AD148D">
      <w:pPr>
        <w:spacing w:before="100" w:beforeAutospacing="1" w:after="100" w:afterAutospacing="1" w:line="240" w:lineRule="auto"/>
        <w:jc w:val="both"/>
        <w:rPr>
          <w:rFonts w:ascii="Times New Roman" w:eastAsia="Times New Roman" w:hAnsi="Times New Roman" w:cs="Times New Roman"/>
          <w:b/>
          <w:bCs/>
          <w:sz w:val="24"/>
          <w:szCs w:val="24"/>
        </w:rPr>
      </w:pPr>
      <w:r w:rsidRPr="004524A3">
        <w:rPr>
          <w:rFonts w:ascii="Times New Roman" w:eastAsia="Times New Roman" w:hAnsi="Times New Roman" w:cs="Times New Roman"/>
          <w:b/>
          <w:bCs/>
          <w:sz w:val="24"/>
          <w:szCs w:val="24"/>
        </w:rPr>
        <w:t>Theoretical Frameworks</w:t>
      </w:r>
    </w:p>
    <w:p w14:paraId="0D1012BE" w14:textId="77777777" w:rsidR="00AD1E20" w:rsidRPr="0061753D" w:rsidRDefault="00AD1E20" w:rsidP="00AD148D">
      <w:pPr>
        <w:spacing w:before="100" w:beforeAutospacing="1" w:after="100" w:afterAutospacing="1" w:line="240" w:lineRule="auto"/>
        <w:jc w:val="both"/>
        <w:rPr>
          <w:rFonts w:ascii="Times New Roman" w:eastAsia="Times New Roman" w:hAnsi="Times New Roman" w:cs="Times New Roman"/>
          <w:sz w:val="24"/>
          <w:szCs w:val="24"/>
        </w:rPr>
      </w:pPr>
      <w:r w:rsidRPr="0061753D">
        <w:rPr>
          <w:rFonts w:ascii="Times New Roman" w:eastAsia="Times New Roman" w:hAnsi="Times New Roman" w:cs="Times New Roman"/>
          <w:sz w:val="24"/>
          <w:szCs w:val="24"/>
        </w:rPr>
        <w:t xml:space="preserve">A robust theoretical foundation for analyzing the equity and efficiency challenges of Ghana’s Computerized School Selection and Placement System (CSSPS) can be drawn from four key frameworks: </w:t>
      </w:r>
      <w:r w:rsidRPr="0061753D">
        <w:rPr>
          <w:rFonts w:ascii="Times New Roman" w:eastAsia="Times New Roman" w:hAnsi="Times New Roman" w:cs="Times New Roman"/>
          <w:b/>
          <w:bCs/>
          <w:sz w:val="24"/>
          <w:szCs w:val="24"/>
        </w:rPr>
        <w:t>social justice theory</w:t>
      </w:r>
      <w:r w:rsidRPr="0061753D">
        <w:rPr>
          <w:rFonts w:ascii="Times New Roman" w:eastAsia="Times New Roman" w:hAnsi="Times New Roman" w:cs="Times New Roman"/>
          <w:sz w:val="24"/>
          <w:szCs w:val="24"/>
        </w:rPr>
        <w:t xml:space="preserve">, </w:t>
      </w:r>
      <w:r w:rsidRPr="0061753D">
        <w:rPr>
          <w:rFonts w:ascii="Times New Roman" w:eastAsia="Times New Roman" w:hAnsi="Times New Roman" w:cs="Times New Roman"/>
          <w:b/>
          <w:bCs/>
          <w:sz w:val="24"/>
          <w:szCs w:val="24"/>
        </w:rPr>
        <w:t>fairness in education</w:t>
      </w:r>
      <w:r w:rsidRPr="0061753D">
        <w:rPr>
          <w:rFonts w:ascii="Times New Roman" w:eastAsia="Times New Roman" w:hAnsi="Times New Roman" w:cs="Times New Roman"/>
          <w:sz w:val="24"/>
          <w:szCs w:val="24"/>
        </w:rPr>
        <w:t xml:space="preserve">, </w:t>
      </w:r>
      <w:r w:rsidRPr="0061753D">
        <w:rPr>
          <w:rFonts w:ascii="Times New Roman" w:eastAsia="Times New Roman" w:hAnsi="Times New Roman" w:cs="Times New Roman"/>
          <w:b/>
          <w:bCs/>
          <w:sz w:val="24"/>
          <w:szCs w:val="24"/>
        </w:rPr>
        <w:t>systems optimization theory</w:t>
      </w:r>
      <w:r w:rsidRPr="0061753D">
        <w:rPr>
          <w:rFonts w:ascii="Times New Roman" w:eastAsia="Times New Roman" w:hAnsi="Times New Roman" w:cs="Times New Roman"/>
          <w:sz w:val="24"/>
          <w:szCs w:val="24"/>
        </w:rPr>
        <w:t xml:space="preserve">, and </w:t>
      </w:r>
      <w:r w:rsidRPr="0061753D">
        <w:rPr>
          <w:rFonts w:ascii="Times New Roman" w:eastAsia="Times New Roman" w:hAnsi="Times New Roman" w:cs="Times New Roman"/>
          <w:b/>
          <w:bCs/>
          <w:sz w:val="24"/>
          <w:szCs w:val="24"/>
        </w:rPr>
        <w:t>e-governance theory</w:t>
      </w:r>
      <w:r w:rsidRPr="0061753D">
        <w:rPr>
          <w:rFonts w:ascii="Times New Roman" w:eastAsia="Times New Roman" w:hAnsi="Times New Roman" w:cs="Times New Roman"/>
          <w:sz w:val="24"/>
          <w:szCs w:val="24"/>
        </w:rPr>
        <w:t>.</w:t>
      </w:r>
    </w:p>
    <w:p w14:paraId="3CABBCCB" w14:textId="1790CDA9" w:rsidR="00AD1E20" w:rsidRPr="0061753D" w:rsidRDefault="00AD1E20" w:rsidP="00AD148D">
      <w:pPr>
        <w:spacing w:before="100" w:beforeAutospacing="1" w:after="100" w:afterAutospacing="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Equity-Oriented</w:t>
      </w:r>
      <w:r w:rsidR="00DD4DB7">
        <w:rPr>
          <w:rFonts w:ascii="Times New Roman" w:eastAsia="Times New Roman" w:hAnsi="Times New Roman" w:cs="Times New Roman"/>
          <w:b/>
          <w:bCs/>
          <w:sz w:val="24"/>
          <w:szCs w:val="24"/>
        </w:rPr>
        <w:t xml:space="preserve"> </w:t>
      </w:r>
      <w:r w:rsidRPr="0061753D">
        <w:rPr>
          <w:rFonts w:ascii="Times New Roman" w:eastAsia="Times New Roman" w:hAnsi="Times New Roman" w:cs="Times New Roman"/>
          <w:b/>
          <w:bCs/>
          <w:sz w:val="24"/>
          <w:szCs w:val="24"/>
        </w:rPr>
        <w:t>Theories:</w:t>
      </w:r>
      <w:r w:rsidRPr="0061753D">
        <w:rPr>
          <w:rFonts w:ascii="Times New Roman" w:eastAsia="Times New Roman" w:hAnsi="Times New Roman" w:cs="Times New Roman"/>
          <w:sz w:val="24"/>
          <w:szCs w:val="24"/>
        </w:rPr>
        <w:br/>
        <w:t>Social justice theory, as articulated by Rawls (1971), emphasizes the equitable distribution of opportunities and resources. In the context of CSSPS, this imp</w:t>
      </w:r>
      <w:r>
        <w:rPr>
          <w:rFonts w:ascii="Times New Roman" w:eastAsia="Times New Roman" w:hAnsi="Times New Roman" w:cs="Times New Roman"/>
          <w:sz w:val="24"/>
          <w:szCs w:val="24"/>
        </w:rPr>
        <w:t>lies ensuring that all students</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1753D">
        <w:rPr>
          <w:rFonts w:ascii="Times New Roman" w:eastAsia="Times New Roman" w:hAnsi="Times New Roman" w:cs="Times New Roman"/>
          <w:sz w:val="24"/>
          <w:szCs w:val="24"/>
        </w:rPr>
        <w:t>regardless of socioeconomic bac</w:t>
      </w:r>
      <w:r>
        <w:rPr>
          <w:rFonts w:ascii="Times New Roman" w:eastAsia="Times New Roman" w:hAnsi="Times New Roman" w:cs="Times New Roman"/>
          <w:sz w:val="24"/>
          <w:szCs w:val="24"/>
        </w:rPr>
        <w:t>kground</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1753D">
        <w:rPr>
          <w:rFonts w:ascii="Times New Roman" w:eastAsia="Times New Roman" w:hAnsi="Times New Roman" w:cs="Times New Roman"/>
          <w:sz w:val="24"/>
          <w:szCs w:val="24"/>
        </w:rPr>
        <w:t>have fair access to preferred and quality senior high schools. Fraser’s (1997) theory of fairness in education reinforces this idea by advocating for procedural justice, where transparency, inclusion, and recognition of diverse needs are central to educational policy.</w:t>
      </w:r>
    </w:p>
    <w:p w14:paraId="2376934F" w14:textId="77777777" w:rsidR="00AD1E20" w:rsidRPr="0061753D" w:rsidRDefault="00AD1E20" w:rsidP="00AD148D">
      <w:pPr>
        <w:spacing w:before="100" w:beforeAutospacing="1" w:after="100" w:afterAutospacing="1" w:line="240" w:lineRule="auto"/>
        <w:jc w:val="both"/>
        <w:rPr>
          <w:rFonts w:ascii="Times New Roman" w:eastAsia="Times New Roman" w:hAnsi="Times New Roman" w:cs="Times New Roman"/>
          <w:sz w:val="24"/>
          <w:szCs w:val="24"/>
        </w:rPr>
      </w:pPr>
      <w:r w:rsidRPr="0061753D">
        <w:rPr>
          <w:rFonts w:ascii="Times New Roman" w:eastAsia="Times New Roman" w:hAnsi="Times New Roman" w:cs="Times New Roman"/>
          <w:sz w:val="24"/>
          <w:szCs w:val="24"/>
        </w:rPr>
        <w:t xml:space="preserve">These frameworks directly relate to current CSSPS issues, such as the </w:t>
      </w:r>
      <w:r w:rsidRPr="0061753D">
        <w:rPr>
          <w:rFonts w:ascii="Times New Roman" w:eastAsia="Times New Roman" w:hAnsi="Times New Roman" w:cs="Times New Roman"/>
          <w:bCs/>
          <w:sz w:val="24"/>
          <w:szCs w:val="24"/>
        </w:rPr>
        <w:t>limited consideration of student preferences</w:t>
      </w:r>
      <w:r w:rsidRPr="0061753D">
        <w:rPr>
          <w:rFonts w:ascii="Times New Roman" w:eastAsia="Times New Roman" w:hAnsi="Times New Roman" w:cs="Times New Roman"/>
          <w:sz w:val="24"/>
          <w:szCs w:val="24"/>
        </w:rPr>
        <w:t xml:space="preserve"> and the </w:t>
      </w:r>
      <w:r w:rsidRPr="0061753D">
        <w:rPr>
          <w:rFonts w:ascii="Times New Roman" w:eastAsia="Times New Roman" w:hAnsi="Times New Roman" w:cs="Times New Roman"/>
          <w:bCs/>
          <w:sz w:val="24"/>
          <w:szCs w:val="24"/>
        </w:rPr>
        <w:t>controversial 30% priority placement for public JHS students</w:t>
      </w:r>
      <w:r w:rsidRPr="0061753D">
        <w:rPr>
          <w:rFonts w:ascii="Times New Roman" w:eastAsia="Times New Roman" w:hAnsi="Times New Roman" w:cs="Times New Roman"/>
          <w:sz w:val="24"/>
          <w:szCs w:val="24"/>
        </w:rPr>
        <w:t>, which some stakeholders argue undermines meritocracy and equity.</w:t>
      </w:r>
    </w:p>
    <w:p w14:paraId="16FE1631" w14:textId="77777777" w:rsidR="00AD1E20" w:rsidRPr="0061753D" w:rsidRDefault="00AD1E20" w:rsidP="00AD148D">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Efficiency-Oriented </w:t>
      </w:r>
      <w:r w:rsidRPr="0061753D">
        <w:rPr>
          <w:rFonts w:ascii="Times New Roman" w:eastAsia="Times New Roman" w:hAnsi="Times New Roman" w:cs="Times New Roman"/>
          <w:b/>
          <w:bCs/>
          <w:sz w:val="24"/>
          <w:szCs w:val="24"/>
        </w:rPr>
        <w:t>Theories:</w:t>
      </w:r>
      <w:r w:rsidRPr="0061753D">
        <w:rPr>
          <w:rFonts w:ascii="Times New Roman" w:eastAsia="Times New Roman" w:hAnsi="Times New Roman" w:cs="Times New Roman"/>
          <w:sz w:val="24"/>
          <w:szCs w:val="24"/>
        </w:rPr>
        <w:br/>
      </w:r>
      <w:r w:rsidRPr="00A34C22">
        <w:rPr>
          <w:rFonts w:ascii="Times New Roman" w:eastAsia="Times New Roman" w:hAnsi="Times New Roman" w:cs="Times New Roman"/>
          <w:sz w:val="24"/>
          <w:szCs w:val="24"/>
        </w:rPr>
        <w:t xml:space="preserve">From an operational perspective, systems optimization theory (Bertalanffy, 1968) suggests that educational systems like the CSSPS should be designed to </w:t>
      </w:r>
      <w:r w:rsidRPr="00A34C22">
        <w:rPr>
          <w:rFonts w:ascii="Times New Roman" w:eastAsia="Times New Roman" w:hAnsi="Times New Roman" w:cs="Times New Roman"/>
          <w:bCs/>
          <w:sz w:val="24"/>
          <w:szCs w:val="24"/>
        </w:rPr>
        <w:t>maximize outcomes while minimizing inefficiencies</w:t>
      </w:r>
      <w:r w:rsidRPr="00A34C22">
        <w:rPr>
          <w:rFonts w:ascii="Times New Roman" w:eastAsia="Times New Roman" w:hAnsi="Times New Roman" w:cs="Times New Roman"/>
          <w:sz w:val="24"/>
          <w:szCs w:val="24"/>
        </w:rPr>
        <w:t xml:space="preserve">. Challenges such as </w:t>
      </w:r>
      <w:r w:rsidRPr="00A34C22">
        <w:rPr>
          <w:rFonts w:ascii="Times New Roman" w:eastAsia="Times New Roman" w:hAnsi="Times New Roman" w:cs="Times New Roman"/>
          <w:bCs/>
          <w:sz w:val="24"/>
          <w:szCs w:val="24"/>
        </w:rPr>
        <w:t>inadequate data use</w:t>
      </w:r>
      <w:r w:rsidRPr="00A34C22">
        <w:rPr>
          <w:rFonts w:ascii="Times New Roman" w:eastAsia="Times New Roman" w:hAnsi="Times New Roman" w:cs="Times New Roman"/>
          <w:sz w:val="24"/>
          <w:szCs w:val="24"/>
        </w:rPr>
        <w:t xml:space="preserve">, over-reliance on BECE scores, and </w:t>
      </w:r>
      <w:r w:rsidRPr="00A34C22">
        <w:rPr>
          <w:rFonts w:ascii="Times New Roman" w:eastAsia="Times New Roman" w:hAnsi="Times New Roman" w:cs="Times New Roman"/>
          <w:bCs/>
          <w:sz w:val="24"/>
          <w:szCs w:val="24"/>
        </w:rPr>
        <w:t>slow feedback or complaint resolution mechanisms</w:t>
      </w:r>
      <w:r w:rsidRPr="00A34C22">
        <w:rPr>
          <w:rFonts w:ascii="Times New Roman" w:eastAsia="Times New Roman" w:hAnsi="Times New Roman" w:cs="Times New Roman"/>
          <w:sz w:val="24"/>
          <w:szCs w:val="24"/>
        </w:rPr>
        <w:t xml:space="preserve"> indicate a need for system reengineering to align with optimization principles.</w:t>
      </w:r>
    </w:p>
    <w:p w14:paraId="2CA61D22" w14:textId="77777777" w:rsidR="00AD1E20" w:rsidRPr="0061753D" w:rsidRDefault="00AD1E20" w:rsidP="00AD148D">
      <w:pPr>
        <w:spacing w:before="100" w:beforeAutospacing="1" w:after="100" w:afterAutospacing="1" w:line="240" w:lineRule="auto"/>
        <w:jc w:val="both"/>
        <w:rPr>
          <w:rFonts w:ascii="Times New Roman" w:eastAsia="Times New Roman" w:hAnsi="Times New Roman" w:cs="Times New Roman"/>
          <w:sz w:val="24"/>
          <w:szCs w:val="24"/>
        </w:rPr>
      </w:pPr>
      <w:r w:rsidRPr="0061753D">
        <w:rPr>
          <w:rFonts w:ascii="Times New Roman" w:eastAsia="Times New Roman" w:hAnsi="Times New Roman" w:cs="Times New Roman"/>
          <w:sz w:val="24"/>
          <w:szCs w:val="24"/>
        </w:rPr>
        <w:t xml:space="preserve">E-governance theory (Heeks, 2006) provides a complementary digital lens, advocating for the use of information and communication technologies to improve public service delivery. In the CSSPS context, this translates to the integration of </w:t>
      </w:r>
      <w:r w:rsidRPr="00A34C22">
        <w:rPr>
          <w:rFonts w:ascii="Times New Roman" w:eastAsia="Times New Roman" w:hAnsi="Times New Roman" w:cs="Times New Roman"/>
          <w:bCs/>
          <w:sz w:val="24"/>
          <w:szCs w:val="24"/>
        </w:rPr>
        <w:t>real-time feedback systems</w:t>
      </w:r>
      <w:r w:rsidRPr="00A34C22">
        <w:rPr>
          <w:rFonts w:ascii="Times New Roman" w:eastAsia="Times New Roman" w:hAnsi="Times New Roman" w:cs="Times New Roman"/>
          <w:sz w:val="24"/>
          <w:szCs w:val="24"/>
        </w:rPr>
        <w:t>,</w:t>
      </w:r>
      <w:r w:rsidRPr="0061753D">
        <w:rPr>
          <w:rFonts w:ascii="Times New Roman" w:eastAsia="Times New Roman" w:hAnsi="Times New Roman" w:cs="Times New Roman"/>
          <w:sz w:val="24"/>
          <w:szCs w:val="24"/>
        </w:rPr>
        <w:t xml:space="preserve"> data-driven placement tools, and transparent complaint handling mechanisms to enhance user trust and system efficiency.</w:t>
      </w:r>
    </w:p>
    <w:p w14:paraId="7BB87831" w14:textId="01CB0224" w:rsidR="00AD1E20" w:rsidRPr="0061753D" w:rsidRDefault="00AD1E20" w:rsidP="00AD148D">
      <w:pPr>
        <w:spacing w:before="100" w:beforeAutospacing="1" w:after="100" w:afterAutospacing="1" w:line="240" w:lineRule="auto"/>
        <w:jc w:val="both"/>
        <w:rPr>
          <w:rFonts w:ascii="Times New Roman" w:eastAsia="Times New Roman" w:hAnsi="Times New Roman" w:cs="Times New Roman"/>
          <w:sz w:val="24"/>
          <w:szCs w:val="24"/>
        </w:rPr>
      </w:pPr>
      <w:r w:rsidRPr="0061753D">
        <w:rPr>
          <w:rFonts w:ascii="Times New Roman" w:eastAsia="Times New Roman" w:hAnsi="Times New Roman" w:cs="Times New Roman"/>
          <w:sz w:val="24"/>
          <w:szCs w:val="24"/>
        </w:rPr>
        <w:t xml:space="preserve">Together, these theories offer a multidimensional lens to assess </w:t>
      </w:r>
      <w:r>
        <w:rPr>
          <w:rFonts w:ascii="Times New Roman" w:eastAsia="Times New Roman" w:hAnsi="Times New Roman" w:cs="Times New Roman"/>
          <w:sz w:val="24"/>
          <w:szCs w:val="24"/>
        </w:rPr>
        <w:t>and improve CSSPS functionality</w:t>
      </w:r>
      <w:r w:rsidR="00DD4D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1753D">
        <w:rPr>
          <w:rFonts w:ascii="Times New Roman" w:eastAsia="Times New Roman" w:hAnsi="Times New Roman" w:cs="Times New Roman"/>
          <w:sz w:val="24"/>
          <w:szCs w:val="24"/>
        </w:rPr>
        <w:t>balancing the imperative for fairness with the need for operational effectiveness.</w:t>
      </w:r>
    </w:p>
    <w:p w14:paraId="22ED12D8" w14:textId="77777777" w:rsidR="00AD1E20" w:rsidRDefault="00AD1E20" w:rsidP="00AD148D">
      <w:pPr>
        <w:jc w:val="both"/>
        <w:rPr>
          <w:rFonts w:ascii="Times New Roman" w:hAnsi="Times New Roman" w:cs="Times New Roman"/>
          <w:b/>
          <w:sz w:val="24"/>
          <w:szCs w:val="24"/>
        </w:rPr>
      </w:pPr>
    </w:p>
    <w:p w14:paraId="30EBC94E" w14:textId="17E8B967" w:rsidR="00907695" w:rsidRPr="004524A3" w:rsidRDefault="008B6B7E" w:rsidP="00AD148D">
      <w:pPr>
        <w:jc w:val="both"/>
        <w:rPr>
          <w:rFonts w:ascii="Times New Roman" w:hAnsi="Times New Roman" w:cs="Times New Roman"/>
          <w:b/>
          <w:sz w:val="24"/>
          <w:szCs w:val="24"/>
        </w:rPr>
      </w:pPr>
      <w:r w:rsidRPr="004524A3">
        <w:rPr>
          <w:rFonts w:ascii="Times New Roman" w:hAnsi="Times New Roman" w:cs="Times New Roman"/>
          <w:b/>
          <w:sz w:val="24"/>
          <w:szCs w:val="24"/>
        </w:rPr>
        <w:t>Conceptual Framework to Address Equity and Efficiency Challenges in Ghana’s CSSPS</w:t>
      </w:r>
    </w:p>
    <w:p w14:paraId="0BE70E83" w14:textId="3A24654C" w:rsidR="002F49F7" w:rsidRDefault="00572CA3" w:rsidP="00AD148D">
      <w:pPr>
        <w:jc w:val="both"/>
        <w:rPr>
          <w:rFonts w:ascii="Times New Roman" w:eastAsia="Times New Roman" w:hAnsi="Times New Roman" w:cs="Times New Roman"/>
          <w:sz w:val="24"/>
          <w:szCs w:val="24"/>
        </w:rPr>
      </w:pPr>
      <w:r w:rsidRPr="00572CA3">
        <w:rPr>
          <w:rFonts w:ascii="Times New Roman" w:eastAsia="Times New Roman" w:hAnsi="Times New Roman" w:cs="Times New Roman"/>
          <w:sz w:val="24"/>
          <w:szCs w:val="24"/>
        </w:rPr>
        <w:t xml:space="preserve">The conceptual framework presented in Figure 1 is directly informed by the theoretical foundations outlined above. Social justice theory and Fraser’s fairness in education provide the normative basis for identifying and addressing equity-related challenges in the CSSPS, such as the limited incorporation of student preferences and the perceived exclusion of private JHS students from high-demand Category “A” schools. Systems optimization theory and e-governance theory underpin the efficiency dimension, highlighting the operational weaknesses of a centralized placement model and the system's inadequate feedback and data utilization mechanisms. Together, these theories not only frame the diagnosis of CSSPS challenges but also inform the structure and focus of the conceptual framework. This theoretical-conceptual linkage ensures that the study’s analysis and recommendations are grounded in both established scholarly principles and practical </w:t>
      </w:r>
      <w:r w:rsidR="002F49F7">
        <w:rPr>
          <w:rFonts w:ascii="Times New Roman" w:eastAsia="Times New Roman" w:hAnsi="Times New Roman" w:cs="Times New Roman"/>
          <w:sz w:val="24"/>
          <w:szCs w:val="24"/>
        </w:rPr>
        <w:t xml:space="preserve">system-level </w:t>
      </w:r>
      <w:r w:rsidRPr="00572CA3">
        <w:rPr>
          <w:rFonts w:ascii="Times New Roman" w:eastAsia="Times New Roman" w:hAnsi="Times New Roman" w:cs="Times New Roman"/>
          <w:sz w:val="24"/>
          <w:szCs w:val="24"/>
        </w:rPr>
        <w:t>realities</w:t>
      </w:r>
      <w:r w:rsidR="002F49F7">
        <w:rPr>
          <w:rFonts w:ascii="Times New Roman" w:eastAsia="Times New Roman" w:hAnsi="Times New Roman" w:cs="Times New Roman"/>
          <w:sz w:val="24"/>
          <w:szCs w:val="24"/>
        </w:rPr>
        <w:t>.</w:t>
      </w:r>
    </w:p>
    <w:p w14:paraId="0BDFB8F0" w14:textId="00D52487" w:rsidR="004C5387" w:rsidRPr="004524A3" w:rsidRDefault="002C57DD"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noProof/>
          <w:sz w:val="24"/>
          <w:szCs w:val="24"/>
        </w:rPr>
        <w:lastRenderedPageBreak/>
        <w:drawing>
          <wp:inline distT="0" distB="0" distL="0" distR="0" wp14:anchorId="6AEBA546" wp14:editId="4FFB185C">
            <wp:extent cx="5323350" cy="3267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3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77953" cy="3300587"/>
                    </a:xfrm>
                    <a:prstGeom prst="rect">
                      <a:avLst/>
                    </a:prstGeom>
                  </pic:spPr>
                </pic:pic>
              </a:graphicData>
            </a:graphic>
          </wp:inline>
        </w:drawing>
      </w:r>
    </w:p>
    <w:p w14:paraId="20C673AE" w14:textId="77777777" w:rsidR="005D37AF" w:rsidRPr="004524A3" w:rsidRDefault="005D37AF"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Figure 1. Challenges of CSSPS  </w:t>
      </w:r>
    </w:p>
    <w:p w14:paraId="78509F4B" w14:textId="35A89C92" w:rsidR="005D37AF" w:rsidRPr="004524A3" w:rsidRDefault="005D37AF"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Source: Author</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s Construction</w:t>
      </w:r>
    </w:p>
    <w:p w14:paraId="7D8460F8" w14:textId="77777777" w:rsidR="000162CE" w:rsidRPr="000162CE" w:rsidRDefault="000162CE" w:rsidP="00AD148D">
      <w:pPr>
        <w:jc w:val="both"/>
        <w:rPr>
          <w:rFonts w:ascii="Times New Roman" w:eastAsia="Times New Roman" w:hAnsi="Times New Roman" w:cs="Times New Roman"/>
          <w:sz w:val="24"/>
          <w:szCs w:val="24"/>
        </w:rPr>
      </w:pPr>
      <w:r w:rsidRPr="000162CE">
        <w:rPr>
          <w:rFonts w:ascii="Times New Roman" w:eastAsia="Times New Roman" w:hAnsi="Times New Roman" w:cs="Times New Roman"/>
          <w:sz w:val="24"/>
          <w:szCs w:val="24"/>
        </w:rPr>
        <w:t>These theoretical insights inform not only the diagnosis of CSSPS challenges but also shape the proposed interventions, which are operationalized through the following hypotheses:</w:t>
      </w:r>
    </w:p>
    <w:p w14:paraId="5A89032D" w14:textId="77777777" w:rsidR="000162CE" w:rsidRPr="000162CE" w:rsidRDefault="000162CE" w:rsidP="00AD148D">
      <w:pPr>
        <w:numPr>
          <w:ilvl w:val="0"/>
          <w:numId w:val="32"/>
        </w:numPr>
        <w:jc w:val="both"/>
        <w:rPr>
          <w:rFonts w:ascii="Times New Roman" w:eastAsia="Times New Roman" w:hAnsi="Times New Roman" w:cs="Times New Roman"/>
          <w:sz w:val="24"/>
          <w:szCs w:val="24"/>
        </w:rPr>
      </w:pPr>
      <w:r w:rsidRPr="000162CE">
        <w:rPr>
          <w:rFonts w:ascii="Times New Roman" w:eastAsia="Times New Roman" w:hAnsi="Times New Roman" w:cs="Times New Roman"/>
          <w:b/>
          <w:bCs/>
          <w:sz w:val="24"/>
          <w:szCs w:val="24"/>
        </w:rPr>
        <w:t>H1</w:t>
      </w:r>
      <w:r w:rsidRPr="000162CE">
        <w:rPr>
          <w:rFonts w:ascii="Times New Roman" w:eastAsia="Times New Roman" w:hAnsi="Times New Roman" w:cs="Times New Roman"/>
          <w:sz w:val="24"/>
          <w:szCs w:val="24"/>
        </w:rPr>
        <w:t xml:space="preserve">: Removing or revising the 30% priority placement policy for public JHS students in Category A schools will significantly increase enrolment success. </w:t>
      </w:r>
      <w:r w:rsidRPr="000162CE">
        <w:rPr>
          <w:rFonts w:ascii="Times New Roman" w:eastAsia="Times New Roman" w:hAnsi="Times New Roman" w:cs="Times New Roman"/>
          <w:i/>
          <w:iCs/>
          <w:sz w:val="24"/>
          <w:szCs w:val="24"/>
        </w:rPr>
        <w:t>(Linked to equity, fairness, and social justice)</w:t>
      </w:r>
    </w:p>
    <w:p w14:paraId="554BC391" w14:textId="77777777" w:rsidR="000162CE" w:rsidRPr="000162CE" w:rsidRDefault="000162CE" w:rsidP="00AD148D">
      <w:pPr>
        <w:numPr>
          <w:ilvl w:val="0"/>
          <w:numId w:val="32"/>
        </w:numPr>
        <w:jc w:val="both"/>
        <w:rPr>
          <w:rFonts w:ascii="Times New Roman" w:eastAsia="Times New Roman" w:hAnsi="Times New Roman" w:cs="Times New Roman"/>
          <w:sz w:val="24"/>
          <w:szCs w:val="24"/>
        </w:rPr>
      </w:pPr>
      <w:r w:rsidRPr="000162CE">
        <w:rPr>
          <w:rFonts w:ascii="Times New Roman" w:eastAsia="Times New Roman" w:hAnsi="Times New Roman" w:cs="Times New Roman"/>
          <w:b/>
          <w:bCs/>
          <w:sz w:val="24"/>
          <w:szCs w:val="24"/>
        </w:rPr>
        <w:t>H2</w:t>
      </w:r>
      <w:r w:rsidRPr="000162CE">
        <w:rPr>
          <w:rFonts w:ascii="Times New Roman" w:eastAsia="Times New Roman" w:hAnsi="Times New Roman" w:cs="Times New Roman"/>
          <w:sz w:val="24"/>
          <w:szCs w:val="24"/>
        </w:rPr>
        <w:t xml:space="preserve">: A multi-criteria placement system that incorporates students’ interests and co-curricular activities will significantly enhance enrolment. </w:t>
      </w:r>
      <w:r w:rsidRPr="000162CE">
        <w:rPr>
          <w:rFonts w:ascii="Times New Roman" w:eastAsia="Times New Roman" w:hAnsi="Times New Roman" w:cs="Times New Roman"/>
          <w:i/>
          <w:iCs/>
          <w:sz w:val="24"/>
          <w:szCs w:val="24"/>
        </w:rPr>
        <w:t>(Grounded in fairness and systems optimization)</w:t>
      </w:r>
    </w:p>
    <w:p w14:paraId="569A72EF" w14:textId="77777777" w:rsidR="000162CE" w:rsidRPr="000162CE" w:rsidRDefault="000162CE" w:rsidP="00AD148D">
      <w:pPr>
        <w:numPr>
          <w:ilvl w:val="0"/>
          <w:numId w:val="32"/>
        </w:numPr>
        <w:jc w:val="both"/>
        <w:rPr>
          <w:rFonts w:ascii="Times New Roman" w:eastAsia="Times New Roman" w:hAnsi="Times New Roman" w:cs="Times New Roman"/>
          <w:sz w:val="24"/>
          <w:szCs w:val="24"/>
        </w:rPr>
      </w:pPr>
      <w:r w:rsidRPr="000162CE">
        <w:rPr>
          <w:rFonts w:ascii="Times New Roman" w:eastAsia="Times New Roman" w:hAnsi="Times New Roman" w:cs="Times New Roman"/>
          <w:b/>
          <w:bCs/>
          <w:sz w:val="24"/>
          <w:szCs w:val="24"/>
        </w:rPr>
        <w:t>H3</w:t>
      </w:r>
      <w:r w:rsidRPr="000162CE">
        <w:rPr>
          <w:rFonts w:ascii="Times New Roman" w:eastAsia="Times New Roman" w:hAnsi="Times New Roman" w:cs="Times New Roman"/>
          <w:sz w:val="24"/>
          <w:szCs w:val="24"/>
        </w:rPr>
        <w:t xml:space="preserve">: Implementing a real-time feedback mechanism in CSSPS will significantly increase enrolment success. </w:t>
      </w:r>
      <w:r w:rsidRPr="000162CE">
        <w:rPr>
          <w:rFonts w:ascii="Times New Roman" w:eastAsia="Times New Roman" w:hAnsi="Times New Roman" w:cs="Times New Roman"/>
          <w:i/>
          <w:iCs/>
          <w:sz w:val="24"/>
          <w:szCs w:val="24"/>
        </w:rPr>
        <w:t>(Rooted in e-governance and responsiveness)</w:t>
      </w:r>
    </w:p>
    <w:p w14:paraId="7E380BD1" w14:textId="77777777" w:rsidR="000162CE" w:rsidRPr="000162CE" w:rsidRDefault="000162CE" w:rsidP="00AD148D">
      <w:pPr>
        <w:numPr>
          <w:ilvl w:val="0"/>
          <w:numId w:val="32"/>
        </w:numPr>
        <w:jc w:val="both"/>
        <w:rPr>
          <w:rFonts w:ascii="Times New Roman" w:eastAsia="Times New Roman" w:hAnsi="Times New Roman" w:cs="Times New Roman"/>
          <w:sz w:val="24"/>
          <w:szCs w:val="24"/>
        </w:rPr>
      </w:pPr>
      <w:r w:rsidRPr="000162CE">
        <w:rPr>
          <w:rFonts w:ascii="Times New Roman" w:eastAsia="Times New Roman" w:hAnsi="Times New Roman" w:cs="Times New Roman"/>
          <w:b/>
          <w:bCs/>
          <w:sz w:val="24"/>
          <w:szCs w:val="24"/>
        </w:rPr>
        <w:t>H4</w:t>
      </w:r>
      <w:r w:rsidRPr="000162CE">
        <w:rPr>
          <w:rFonts w:ascii="Times New Roman" w:eastAsia="Times New Roman" w:hAnsi="Times New Roman" w:cs="Times New Roman"/>
          <w:sz w:val="24"/>
          <w:szCs w:val="24"/>
        </w:rPr>
        <w:t xml:space="preserve">: A placement system that considers students' preferences by using iterative algorithms that tentatively place or reject students and allow them to make other selections until they are placed will significantly increase enrolment success. </w:t>
      </w:r>
      <w:r w:rsidRPr="000162CE">
        <w:rPr>
          <w:rFonts w:ascii="Times New Roman" w:eastAsia="Times New Roman" w:hAnsi="Times New Roman" w:cs="Times New Roman"/>
          <w:i/>
          <w:iCs/>
          <w:sz w:val="24"/>
          <w:szCs w:val="24"/>
        </w:rPr>
        <w:t>(Linked to fairness and efficiency through algorithmic optimization)</w:t>
      </w:r>
    </w:p>
    <w:p w14:paraId="472A5EB1" w14:textId="77777777" w:rsidR="000162CE" w:rsidRPr="000162CE" w:rsidRDefault="000162CE" w:rsidP="00AD148D">
      <w:pPr>
        <w:numPr>
          <w:ilvl w:val="0"/>
          <w:numId w:val="32"/>
        </w:numPr>
        <w:jc w:val="both"/>
        <w:rPr>
          <w:rFonts w:ascii="Times New Roman" w:eastAsia="Times New Roman" w:hAnsi="Times New Roman" w:cs="Times New Roman"/>
          <w:sz w:val="24"/>
          <w:szCs w:val="24"/>
        </w:rPr>
      </w:pPr>
      <w:r w:rsidRPr="000162CE">
        <w:rPr>
          <w:rFonts w:ascii="Times New Roman" w:eastAsia="Times New Roman" w:hAnsi="Times New Roman" w:cs="Times New Roman"/>
          <w:b/>
          <w:bCs/>
          <w:sz w:val="24"/>
          <w:szCs w:val="24"/>
        </w:rPr>
        <w:t>H5</w:t>
      </w:r>
      <w:r w:rsidRPr="000162CE">
        <w:rPr>
          <w:rFonts w:ascii="Times New Roman" w:eastAsia="Times New Roman" w:hAnsi="Times New Roman" w:cs="Times New Roman"/>
          <w:sz w:val="24"/>
          <w:szCs w:val="24"/>
        </w:rPr>
        <w:t xml:space="preserve">: A decentralized yet coordinated school placement model will significantly increase enrolment success. </w:t>
      </w:r>
      <w:r w:rsidRPr="000162CE">
        <w:rPr>
          <w:rFonts w:ascii="Times New Roman" w:eastAsia="Times New Roman" w:hAnsi="Times New Roman" w:cs="Times New Roman"/>
          <w:i/>
          <w:iCs/>
          <w:sz w:val="24"/>
          <w:szCs w:val="24"/>
        </w:rPr>
        <w:t>(Anchored in systems optimization and e-governance frameworks)</w:t>
      </w:r>
    </w:p>
    <w:p w14:paraId="3F7F7941" w14:textId="10CF8474" w:rsidR="000162CE" w:rsidRPr="000162CE" w:rsidRDefault="000162CE" w:rsidP="00AD148D">
      <w:pPr>
        <w:jc w:val="both"/>
        <w:rPr>
          <w:rFonts w:ascii="Times New Roman" w:eastAsia="Times New Roman" w:hAnsi="Times New Roman" w:cs="Times New Roman"/>
          <w:sz w:val="24"/>
          <w:szCs w:val="24"/>
        </w:rPr>
      </w:pPr>
      <w:r w:rsidRPr="000162CE">
        <w:rPr>
          <w:rFonts w:ascii="Times New Roman" w:eastAsia="Times New Roman" w:hAnsi="Times New Roman" w:cs="Times New Roman"/>
          <w:sz w:val="24"/>
          <w:szCs w:val="24"/>
        </w:rPr>
        <w:t xml:space="preserve">Together, these hypotheses represent testable propositions derived from the intersection of theory and practice. This integration ensures that the study’s analysis and recommendations are not only </w:t>
      </w:r>
      <w:r w:rsidRPr="000162CE">
        <w:rPr>
          <w:rFonts w:ascii="Times New Roman" w:eastAsia="Times New Roman" w:hAnsi="Times New Roman" w:cs="Times New Roman"/>
          <w:sz w:val="24"/>
          <w:szCs w:val="24"/>
        </w:rPr>
        <w:lastRenderedPageBreak/>
        <w:t>empirically grounde</w:t>
      </w:r>
      <w:r w:rsidR="00145001">
        <w:rPr>
          <w:rFonts w:ascii="Times New Roman" w:eastAsia="Times New Roman" w:hAnsi="Times New Roman" w:cs="Times New Roman"/>
          <w:sz w:val="24"/>
          <w:szCs w:val="24"/>
        </w:rPr>
        <w:t>d but also theoretically robust</w:t>
      </w:r>
      <w:r w:rsidR="00DD4DB7">
        <w:rPr>
          <w:rFonts w:ascii="Times New Roman" w:eastAsia="Times New Roman" w:hAnsi="Times New Roman" w:cs="Times New Roman"/>
          <w:sz w:val="24"/>
          <w:szCs w:val="24"/>
        </w:rPr>
        <w:t>,</w:t>
      </w:r>
      <w:r w:rsidR="00145001">
        <w:rPr>
          <w:rFonts w:ascii="Times New Roman" w:eastAsia="Times New Roman" w:hAnsi="Times New Roman" w:cs="Times New Roman"/>
          <w:sz w:val="24"/>
          <w:szCs w:val="24"/>
        </w:rPr>
        <w:t xml:space="preserve"> </w:t>
      </w:r>
      <w:r w:rsidRPr="000162CE">
        <w:rPr>
          <w:rFonts w:ascii="Times New Roman" w:eastAsia="Times New Roman" w:hAnsi="Times New Roman" w:cs="Times New Roman"/>
          <w:sz w:val="24"/>
          <w:szCs w:val="24"/>
        </w:rPr>
        <w:t>providing a structured pathway for assessing how targeted reforms could enhance both the equity and efficiency of the CSSPS.</w:t>
      </w:r>
    </w:p>
    <w:p w14:paraId="47FBEC38" w14:textId="77777777" w:rsidR="000D487D" w:rsidRPr="004524A3" w:rsidRDefault="000D487D" w:rsidP="00AD148D">
      <w:pPr>
        <w:jc w:val="both"/>
        <w:rPr>
          <w:rFonts w:ascii="Times New Roman" w:eastAsia="Times New Roman" w:hAnsi="Times New Roman" w:cs="Times New Roman"/>
          <w:sz w:val="24"/>
          <w:szCs w:val="24"/>
        </w:rPr>
      </w:pPr>
    </w:p>
    <w:p w14:paraId="26A1F072" w14:textId="77777777" w:rsidR="00CB2D22" w:rsidRPr="004524A3" w:rsidRDefault="00CB2D22"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Methodology</w:t>
      </w:r>
    </w:p>
    <w:p w14:paraId="1AA1EA96"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 xml:space="preserve">This study employed a </w:t>
      </w:r>
      <w:r w:rsidRPr="00DD4DB7">
        <w:rPr>
          <w:rFonts w:ascii="Times New Roman" w:eastAsia="Times New Roman" w:hAnsi="Times New Roman" w:cs="Times New Roman"/>
          <w:bCs/>
          <w:sz w:val="24"/>
          <w:szCs w:val="24"/>
        </w:rPr>
        <w:t>quantitative research design</w:t>
      </w:r>
      <w:r w:rsidRPr="002C2BD8">
        <w:rPr>
          <w:rFonts w:ascii="Times New Roman" w:eastAsia="Times New Roman" w:hAnsi="Times New Roman" w:cs="Times New Roman"/>
          <w:sz w:val="24"/>
          <w:szCs w:val="24"/>
        </w:rPr>
        <w:t xml:space="preserve"> using standard multiple regression analysis to examine the relationship between enrollment success and five key challenges in the Computerized School Selection and Placement System (CSSPS). This design was appropriate for assessing the relative impact of multiple predictors while controlling for inter-variable influence (Field, 2018). Multiple regression is commonly applied in educational research to model complex relationships (Pallant, 2021) and detect issues like multicollinearity using variance inflation factors (VIF) and tolerance values (Tabachnick &amp; Fidell, 2012).</w:t>
      </w:r>
    </w:p>
    <w:p w14:paraId="50B1380F" w14:textId="77777777" w:rsidR="002C2BD8" w:rsidRPr="002C2BD8" w:rsidRDefault="002C2BD8" w:rsidP="00AD148D">
      <w:pPr>
        <w:spacing w:line="276" w:lineRule="auto"/>
        <w:jc w:val="both"/>
        <w:rPr>
          <w:rFonts w:ascii="Times New Roman" w:eastAsia="Times New Roman" w:hAnsi="Times New Roman" w:cs="Times New Roman"/>
          <w:b/>
          <w:bCs/>
          <w:sz w:val="24"/>
          <w:szCs w:val="24"/>
        </w:rPr>
      </w:pPr>
      <w:r w:rsidRPr="002C2BD8">
        <w:rPr>
          <w:rFonts w:ascii="Times New Roman" w:eastAsia="Times New Roman" w:hAnsi="Times New Roman" w:cs="Times New Roman"/>
          <w:b/>
          <w:bCs/>
          <w:sz w:val="24"/>
          <w:szCs w:val="24"/>
        </w:rPr>
        <w:t>Population and Sampling</w:t>
      </w:r>
    </w:p>
    <w:p w14:paraId="39C080CD"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The study focused on Senior High School (SHS) students from four schools across four regions in Ghana, selected for their regional diversity and differing placement patterns within CSSPS. The total target population was 1,871 students, from which an accessible population of 865 SHS 2 students was identified. A sample of 267 respondents (31% of the accessible population) was determined using the Raosoft sample size calculator at a 5% margin of error and 95% confidence level.</w:t>
      </w:r>
    </w:p>
    <w:p w14:paraId="2919FAC9"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 xml:space="preserve">A </w:t>
      </w:r>
      <w:r w:rsidRPr="002C2BD8">
        <w:rPr>
          <w:rFonts w:ascii="Times New Roman" w:eastAsia="Times New Roman" w:hAnsi="Times New Roman" w:cs="Times New Roman"/>
          <w:bCs/>
          <w:sz w:val="24"/>
          <w:szCs w:val="24"/>
        </w:rPr>
        <w:t>multi-stage stratified random sampling</w:t>
      </w:r>
      <w:r w:rsidRPr="002C2BD8">
        <w:rPr>
          <w:rFonts w:ascii="Times New Roman" w:eastAsia="Times New Roman" w:hAnsi="Times New Roman" w:cs="Times New Roman"/>
          <w:sz w:val="24"/>
          <w:szCs w:val="24"/>
        </w:rPr>
        <w:t xml:space="preserve"> technique was employed. Students were first stratified by school, then selected through </w:t>
      </w:r>
      <w:r w:rsidRPr="002C2BD8">
        <w:rPr>
          <w:rFonts w:ascii="Times New Roman" w:eastAsia="Times New Roman" w:hAnsi="Times New Roman" w:cs="Times New Roman"/>
          <w:bCs/>
          <w:sz w:val="24"/>
          <w:szCs w:val="24"/>
        </w:rPr>
        <w:t>simple random sampling</w:t>
      </w:r>
      <w:r w:rsidRPr="002C2BD8">
        <w:rPr>
          <w:rFonts w:ascii="Times New Roman" w:eastAsia="Times New Roman" w:hAnsi="Times New Roman" w:cs="Times New Roman"/>
          <w:sz w:val="24"/>
          <w:szCs w:val="24"/>
        </w:rPr>
        <w:t xml:space="preserve"> using the lottery method within each stratum (Seidu, 2007).</w:t>
      </w:r>
    </w:p>
    <w:p w14:paraId="64B6C157" w14:textId="77777777" w:rsidR="002C2BD8" w:rsidRPr="002C2BD8" w:rsidRDefault="002C2BD8" w:rsidP="00AD148D">
      <w:pPr>
        <w:spacing w:line="276" w:lineRule="auto"/>
        <w:jc w:val="both"/>
        <w:rPr>
          <w:rFonts w:ascii="Times New Roman" w:eastAsia="Times New Roman" w:hAnsi="Times New Roman" w:cs="Times New Roman"/>
          <w:b/>
          <w:bCs/>
          <w:sz w:val="24"/>
          <w:szCs w:val="24"/>
        </w:rPr>
      </w:pPr>
      <w:r w:rsidRPr="002C2BD8">
        <w:rPr>
          <w:rFonts w:ascii="Times New Roman" w:eastAsia="Times New Roman" w:hAnsi="Times New Roman" w:cs="Times New Roman"/>
          <w:b/>
          <w:bCs/>
          <w:sz w:val="24"/>
          <w:szCs w:val="24"/>
        </w:rPr>
        <w:t>Data Collection Instrument</w:t>
      </w:r>
    </w:p>
    <w:p w14:paraId="52241C04"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 xml:space="preserve">Data was gathered using a </w:t>
      </w:r>
      <w:r w:rsidRPr="002C2BD8">
        <w:rPr>
          <w:rFonts w:ascii="Times New Roman" w:eastAsia="Times New Roman" w:hAnsi="Times New Roman" w:cs="Times New Roman"/>
          <w:bCs/>
          <w:sz w:val="24"/>
          <w:szCs w:val="24"/>
        </w:rPr>
        <w:t>researcher-administered questionnaire</w:t>
      </w:r>
      <w:r w:rsidRPr="002C2BD8">
        <w:rPr>
          <w:rFonts w:ascii="Times New Roman" w:eastAsia="Times New Roman" w:hAnsi="Times New Roman" w:cs="Times New Roman"/>
          <w:sz w:val="24"/>
          <w:szCs w:val="24"/>
        </w:rPr>
        <w:t>, which was piloted and validated before implementation. The instrument assessed perceptions of five major challenges associated with CSSPS:</w:t>
      </w:r>
    </w:p>
    <w:p w14:paraId="4E53B77E" w14:textId="77777777" w:rsidR="002C2BD8" w:rsidRPr="002C2BD8" w:rsidRDefault="002C2BD8" w:rsidP="00AD148D">
      <w:pPr>
        <w:numPr>
          <w:ilvl w:val="0"/>
          <w:numId w:val="31"/>
        </w:num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Inefficient Feedback Mechanism</w:t>
      </w:r>
    </w:p>
    <w:p w14:paraId="7CB34824" w14:textId="77777777" w:rsidR="002C2BD8" w:rsidRPr="002C2BD8" w:rsidRDefault="002C2BD8" w:rsidP="00AD148D">
      <w:pPr>
        <w:numPr>
          <w:ilvl w:val="0"/>
          <w:numId w:val="31"/>
        </w:num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Inadequate Data Utilization</w:t>
      </w:r>
    </w:p>
    <w:p w14:paraId="04E39873" w14:textId="77777777" w:rsidR="002C2BD8" w:rsidRPr="002C2BD8" w:rsidRDefault="002C2BD8" w:rsidP="00AD148D">
      <w:pPr>
        <w:numPr>
          <w:ilvl w:val="0"/>
          <w:numId w:val="31"/>
        </w:num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Centralized System</w:t>
      </w:r>
    </w:p>
    <w:p w14:paraId="2A5C218F" w14:textId="77777777" w:rsidR="002C2BD8" w:rsidRPr="002C2BD8" w:rsidRDefault="002C2BD8" w:rsidP="00AD148D">
      <w:pPr>
        <w:numPr>
          <w:ilvl w:val="0"/>
          <w:numId w:val="31"/>
        </w:num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Limited Consideration of Student Preferences</w:t>
      </w:r>
    </w:p>
    <w:p w14:paraId="2B80441E" w14:textId="77777777" w:rsidR="002C2BD8" w:rsidRPr="002C2BD8" w:rsidRDefault="002C2BD8" w:rsidP="00AD148D">
      <w:pPr>
        <w:numPr>
          <w:ilvl w:val="0"/>
          <w:numId w:val="31"/>
        </w:num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Denial of Access to Category “A” SHSs for Private JHS Students</w:t>
      </w:r>
    </w:p>
    <w:p w14:paraId="72C1EC37" w14:textId="77777777" w:rsidR="002C2BD8" w:rsidRPr="002C2BD8" w:rsidRDefault="002C2BD8" w:rsidP="00AD148D">
      <w:pPr>
        <w:spacing w:line="276" w:lineRule="auto"/>
        <w:jc w:val="both"/>
        <w:rPr>
          <w:rFonts w:ascii="Times New Roman" w:eastAsia="Times New Roman" w:hAnsi="Times New Roman" w:cs="Times New Roman"/>
          <w:b/>
          <w:bCs/>
          <w:sz w:val="24"/>
          <w:szCs w:val="24"/>
        </w:rPr>
      </w:pPr>
      <w:r w:rsidRPr="002C2BD8">
        <w:rPr>
          <w:rFonts w:ascii="Times New Roman" w:eastAsia="Times New Roman" w:hAnsi="Times New Roman" w:cs="Times New Roman"/>
          <w:b/>
          <w:bCs/>
          <w:sz w:val="24"/>
          <w:szCs w:val="24"/>
        </w:rPr>
        <w:t>Data Analysis</w:t>
      </w:r>
    </w:p>
    <w:p w14:paraId="148FF876"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lastRenderedPageBreak/>
        <w:t>Descriptive statistics were used to summarize the data, while standard multiple regression (via SPSS) examined the relationship between the five CSSPS challenges and student enrollment success. The model's overall significance was tested using the F-statistic.</w:t>
      </w:r>
    </w:p>
    <w:p w14:paraId="723B91B8"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 xml:space="preserve">Assumptions for multiple regression (N = 267) were tested and satisfied. Outliers were addressed using </w:t>
      </w:r>
      <w:r w:rsidRPr="002C2BD8">
        <w:rPr>
          <w:rFonts w:ascii="Times New Roman" w:eastAsia="Times New Roman" w:hAnsi="Times New Roman" w:cs="Times New Roman"/>
          <w:bCs/>
          <w:sz w:val="24"/>
          <w:szCs w:val="24"/>
        </w:rPr>
        <w:t>Mahalanobis Distance</w:t>
      </w:r>
      <w:r w:rsidRPr="002C2BD8">
        <w:rPr>
          <w:rFonts w:ascii="Times New Roman" w:eastAsia="Times New Roman" w:hAnsi="Times New Roman" w:cs="Times New Roman"/>
          <w:sz w:val="24"/>
          <w:szCs w:val="24"/>
        </w:rPr>
        <w:t xml:space="preserve"> and </w:t>
      </w:r>
      <w:r w:rsidRPr="002C2BD8">
        <w:rPr>
          <w:rFonts w:ascii="Times New Roman" w:eastAsia="Times New Roman" w:hAnsi="Times New Roman" w:cs="Times New Roman"/>
          <w:bCs/>
          <w:sz w:val="24"/>
          <w:szCs w:val="24"/>
        </w:rPr>
        <w:t>Cook’s Distance</w:t>
      </w:r>
      <w:r w:rsidRPr="002C2BD8">
        <w:rPr>
          <w:rFonts w:ascii="Times New Roman" w:eastAsia="Times New Roman" w:hAnsi="Times New Roman" w:cs="Times New Roman"/>
          <w:sz w:val="24"/>
          <w:szCs w:val="24"/>
        </w:rPr>
        <w:t xml:space="preserve">, with extreme values treated through </w:t>
      </w:r>
      <w:r w:rsidRPr="002C2BD8">
        <w:rPr>
          <w:rFonts w:ascii="Times New Roman" w:eastAsia="Times New Roman" w:hAnsi="Times New Roman" w:cs="Times New Roman"/>
          <w:bCs/>
          <w:sz w:val="24"/>
          <w:szCs w:val="24"/>
        </w:rPr>
        <w:t>Winsorization</w:t>
      </w:r>
      <w:r w:rsidRPr="002C2BD8">
        <w:rPr>
          <w:rFonts w:ascii="Times New Roman" w:eastAsia="Times New Roman" w:hAnsi="Times New Roman" w:cs="Times New Roman"/>
          <w:sz w:val="24"/>
          <w:szCs w:val="24"/>
        </w:rPr>
        <w:t xml:space="preserve">. No multicollinearity was detected (VIF and Tolerance values were within acceptable ranges). Residual plots and histograms confirmed </w:t>
      </w:r>
      <w:r w:rsidRPr="002C2BD8">
        <w:rPr>
          <w:rFonts w:ascii="Times New Roman" w:eastAsia="Times New Roman" w:hAnsi="Times New Roman" w:cs="Times New Roman"/>
          <w:bCs/>
          <w:sz w:val="24"/>
          <w:szCs w:val="24"/>
        </w:rPr>
        <w:t>linearity</w:t>
      </w:r>
      <w:r w:rsidRPr="002C2BD8">
        <w:rPr>
          <w:rFonts w:ascii="Times New Roman" w:eastAsia="Times New Roman" w:hAnsi="Times New Roman" w:cs="Times New Roman"/>
          <w:sz w:val="24"/>
          <w:szCs w:val="24"/>
        </w:rPr>
        <w:t xml:space="preserve">, </w:t>
      </w:r>
      <w:r w:rsidRPr="002C2BD8">
        <w:rPr>
          <w:rFonts w:ascii="Times New Roman" w:eastAsia="Times New Roman" w:hAnsi="Times New Roman" w:cs="Times New Roman"/>
          <w:bCs/>
          <w:sz w:val="24"/>
          <w:szCs w:val="24"/>
        </w:rPr>
        <w:t>normality</w:t>
      </w:r>
      <w:r w:rsidRPr="002C2BD8">
        <w:rPr>
          <w:rFonts w:ascii="Times New Roman" w:eastAsia="Times New Roman" w:hAnsi="Times New Roman" w:cs="Times New Roman"/>
          <w:sz w:val="24"/>
          <w:szCs w:val="24"/>
        </w:rPr>
        <w:t xml:space="preserve">, and </w:t>
      </w:r>
      <w:r w:rsidRPr="002C2BD8">
        <w:rPr>
          <w:rFonts w:ascii="Times New Roman" w:eastAsia="Times New Roman" w:hAnsi="Times New Roman" w:cs="Times New Roman"/>
          <w:bCs/>
          <w:sz w:val="24"/>
          <w:szCs w:val="24"/>
        </w:rPr>
        <w:t>homoscedasticity</w:t>
      </w:r>
      <w:r w:rsidRPr="002C2BD8">
        <w:rPr>
          <w:rFonts w:ascii="Times New Roman" w:eastAsia="Times New Roman" w:hAnsi="Times New Roman" w:cs="Times New Roman"/>
          <w:sz w:val="24"/>
          <w:szCs w:val="24"/>
        </w:rPr>
        <w:t>.</w:t>
      </w:r>
    </w:p>
    <w:p w14:paraId="72522B4A"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Descriptive results indicated a high mean for enrollment success (M = 4.34, SD = 0.720) and the highest variability in data utilization scores (SD = 1.128), supporting the model’s reliability.</w:t>
      </w:r>
    </w:p>
    <w:p w14:paraId="5553A201" w14:textId="77777777" w:rsidR="002C2BD8" w:rsidRPr="002C2BD8" w:rsidRDefault="002C2BD8" w:rsidP="00AD148D">
      <w:pPr>
        <w:spacing w:line="276" w:lineRule="auto"/>
        <w:jc w:val="both"/>
        <w:rPr>
          <w:rFonts w:ascii="Times New Roman" w:eastAsia="Times New Roman" w:hAnsi="Times New Roman" w:cs="Times New Roman"/>
          <w:b/>
          <w:bCs/>
          <w:sz w:val="24"/>
          <w:szCs w:val="24"/>
        </w:rPr>
      </w:pPr>
      <w:r w:rsidRPr="002C2BD8">
        <w:rPr>
          <w:rFonts w:ascii="Times New Roman" w:eastAsia="Times New Roman" w:hAnsi="Times New Roman" w:cs="Times New Roman"/>
          <w:b/>
          <w:bCs/>
          <w:sz w:val="24"/>
          <w:szCs w:val="24"/>
        </w:rPr>
        <w:t>Ethical Considerations</w:t>
      </w:r>
    </w:p>
    <w:p w14:paraId="047ADE67" w14:textId="77777777" w:rsidR="002C2BD8" w:rsidRPr="002C2BD8" w:rsidRDefault="002C2BD8" w:rsidP="00AD148D">
      <w:pPr>
        <w:spacing w:line="276" w:lineRule="auto"/>
        <w:jc w:val="both"/>
        <w:rPr>
          <w:rFonts w:ascii="Times New Roman" w:eastAsia="Times New Roman" w:hAnsi="Times New Roman" w:cs="Times New Roman"/>
          <w:sz w:val="24"/>
          <w:szCs w:val="24"/>
        </w:rPr>
      </w:pPr>
      <w:r w:rsidRPr="002C2BD8">
        <w:rPr>
          <w:rFonts w:ascii="Times New Roman" w:eastAsia="Times New Roman" w:hAnsi="Times New Roman" w:cs="Times New Roman"/>
          <w:sz w:val="24"/>
          <w:szCs w:val="24"/>
        </w:rPr>
        <w:t xml:space="preserve">The study adhered to established ethical guidelines. Approval for data collection was obtained via an official introductory letter and authorization from the school authorities. Participants were fully informed of the study's purpose, and </w:t>
      </w:r>
      <w:r w:rsidRPr="002C2BD8">
        <w:rPr>
          <w:rFonts w:ascii="Times New Roman" w:eastAsia="Times New Roman" w:hAnsi="Times New Roman" w:cs="Times New Roman"/>
          <w:bCs/>
          <w:sz w:val="24"/>
          <w:szCs w:val="24"/>
        </w:rPr>
        <w:t>informed consent</w:t>
      </w:r>
      <w:r w:rsidRPr="002C2BD8">
        <w:rPr>
          <w:rFonts w:ascii="Times New Roman" w:eastAsia="Times New Roman" w:hAnsi="Times New Roman" w:cs="Times New Roman"/>
          <w:sz w:val="24"/>
          <w:szCs w:val="24"/>
        </w:rPr>
        <w:t xml:space="preserve"> was obtained voluntarily (Bryman, 2012). Respondent confidentiality was ensured by removing identifiable information and using coded identifiers during data transcription and analysis.</w:t>
      </w:r>
    </w:p>
    <w:p w14:paraId="0B07D69B" w14:textId="6F407E8E" w:rsidR="00CB2D22" w:rsidRPr="004524A3" w:rsidRDefault="002C2BD8" w:rsidP="00AD148D">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14:paraId="681534FE" w14:textId="6B81A619" w:rsidR="0066283F" w:rsidRPr="004524A3" w:rsidRDefault="005A6948" w:rsidP="00AD148D">
      <w:pPr>
        <w:spacing w:after="240" w:line="276" w:lineRule="auto"/>
        <w:jc w:val="both"/>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A</w:t>
      </w:r>
      <w:r w:rsidR="00D50479" w:rsidRPr="004524A3">
        <w:rPr>
          <w:rFonts w:ascii="Times New Roman" w:eastAsia="Calibri" w:hAnsi="Times New Roman" w:cs="Times New Roman"/>
          <w:color w:val="0D0D0D"/>
          <w:sz w:val="24"/>
          <w:szCs w:val="24"/>
        </w:rPr>
        <w:t xml:space="preserve"> Standard multiple regression was employed in this study to examine the relationship between Feedback Clarity, Data Utilization, Decentralized Process, S</w:t>
      </w:r>
      <w:r w:rsidR="0066283F" w:rsidRPr="004524A3">
        <w:rPr>
          <w:rFonts w:ascii="Times New Roman" w:eastAsia="Calibri" w:hAnsi="Times New Roman" w:cs="Times New Roman"/>
          <w:color w:val="0D0D0D"/>
          <w:sz w:val="24"/>
          <w:szCs w:val="24"/>
        </w:rPr>
        <w:t>chool Preference Consideration</w:t>
      </w:r>
      <w:r w:rsidR="00B76EED">
        <w:rPr>
          <w:rFonts w:ascii="Times New Roman" w:eastAsia="Calibri" w:hAnsi="Times New Roman" w:cs="Times New Roman"/>
          <w:color w:val="0D0D0D"/>
          <w:sz w:val="24"/>
          <w:szCs w:val="24"/>
        </w:rPr>
        <w:t>,</w:t>
      </w:r>
      <w:r w:rsidR="0066283F" w:rsidRPr="004524A3">
        <w:rPr>
          <w:rFonts w:ascii="Times New Roman" w:eastAsia="Calibri" w:hAnsi="Times New Roman" w:cs="Times New Roman"/>
          <w:color w:val="0D0D0D"/>
          <w:sz w:val="24"/>
          <w:szCs w:val="24"/>
        </w:rPr>
        <w:t xml:space="preserve"> </w:t>
      </w:r>
      <w:r w:rsidR="00D50479" w:rsidRPr="004524A3">
        <w:rPr>
          <w:rFonts w:ascii="Times New Roman" w:eastAsia="Calibri" w:hAnsi="Times New Roman" w:cs="Times New Roman"/>
          <w:color w:val="0D0D0D"/>
          <w:sz w:val="24"/>
          <w:szCs w:val="24"/>
        </w:rPr>
        <w:t xml:space="preserve">and </w:t>
      </w:r>
      <w:r w:rsidR="0066283F" w:rsidRPr="004524A3">
        <w:rPr>
          <w:rFonts w:ascii="Times New Roman" w:eastAsia="Calibri" w:hAnsi="Times New Roman" w:cs="Times New Roman"/>
          <w:color w:val="0D0D0D"/>
          <w:sz w:val="24"/>
          <w:szCs w:val="24"/>
        </w:rPr>
        <w:t xml:space="preserve">30% Category </w:t>
      </w:r>
      <w:r w:rsidR="00E12620" w:rsidRPr="004524A3">
        <w:rPr>
          <w:rFonts w:ascii="Times New Roman" w:eastAsia="Calibri" w:hAnsi="Times New Roman" w:cs="Times New Roman"/>
          <w:color w:val="0D0D0D"/>
          <w:sz w:val="24"/>
          <w:szCs w:val="24"/>
        </w:rPr>
        <w:t>“</w:t>
      </w:r>
      <w:r w:rsidR="0066283F" w:rsidRPr="004524A3">
        <w:rPr>
          <w:rFonts w:ascii="Times New Roman" w:eastAsia="Calibri" w:hAnsi="Times New Roman" w:cs="Times New Roman"/>
          <w:color w:val="0D0D0D"/>
          <w:sz w:val="24"/>
          <w:szCs w:val="24"/>
        </w:rPr>
        <w:t>A</w:t>
      </w:r>
      <w:r w:rsidR="00E12620" w:rsidRPr="004524A3">
        <w:rPr>
          <w:rFonts w:ascii="Times New Roman" w:eastAsia="Calibri" w:hAnsi="Times New Roman" w:cs="Times New Roman"/>
          <w:color w:val="0D0D0D"/>
          <w:sz w:val="24"/>
          <w:szCs w:val="24"/>
        </w:rPr>
        <w:t>”</w:t>
      </w:r>
      <w:r w:rsidR="0066283F" w:rsidRPr="004524A3">
        <w:rPr>
          <w:rFonts w:ascii="Times New Roman" w:eastAsia="Calibri" w:hAnsi="Times New Roman" w:cs="Times New Roman"/>
          <w:color w:val="0D0D0D"/>
          <w:sz w:val="24"/>
          <w:szCs w:val="24"/>
        </w:rPr>
        <w:t xml:space="preserve"> School Denial </w:t>
      </w:r>
      <w:r w:rsidR="00D50479" w:rsidRPr="004524A3">
        <w:rPr>
          <w:rFonts w:ascii="Times New Roman" w:eastAsia="Calibri" w:hAnsi="Times New Roman" w:cs="Times New Roman"/>
          <w:color w:val="0D0D0D"/>
          <w:sz w:val="24"/>
          <w:szCs w:val="24"/>
        </w:rPr>
        <w:t>(independent variables) and enrollment success (depen</w:t>
      </w:r>
      <w:r w:rsidR="0066283F" w:rsidRPr="004524A3">
        <w:rPr>
          <w:rFonts w:ascii="Times New Roman" w:eastAsia="Calibri" w:hAnsi="Times New Roman" w:cs="Times New Roman"/>
          <w:color w:val="0D0D0D"/>
          <w:sz w:val="24"/>
          <w:szCs w:val="24"/>
        </w:rPr>
        <w:t xml:space="preserve">dent variable). This method was </w:t>
      </w:r>
      <w:r w:rsidR="00D50479" w:rsidRPr="004524A3">
        <w:rPr>
          <w:rFonts w:ascii="Times New Roman" w:eastAsia="Calibri" w:hAnsi="Times New Roman" w:cs="Times New Roman"/>
          <w:color w:val="0D0D0D"/>
          <w:sz w:val="24"/>
          <w:szCs w:val="24"/>
        </w:rPr>
        <w:t xml:space="preserve">selected as it allows for the simultaneous analysis of multiple predictors </w:t>
      </w:r>
      <w:r w:rsidR="00B76EED">
        <w:rPr>
          <w:rFonts w:ascii="Times New Roman" w:eastAsia="Calibri" w:hAnsi="Times New Roman" w:cs="Times New Roman"/>
          <w:color w:val="0D0D0D"/>
          <w:sz w:val="24"/>
          <w:szCs w:val="24"/>
        </w:rPr>
        <w:t xml:space="preserve">and </w:t>
      </w:r>
      <w:r w:rsidR="00D50479" w:rsidRPr="004524A3">
        <w:rPr>
          <w:rFonts w:ascii="Times New Roman" w:eastAsia="Calibri" w:hAnsi="Times New Roman" w:cs="Times New Roman"/>
          <w:color w:val="0D0D0D"/>
          <w:sz w:val="24"/>
          <w:szCs w:val="24"/>
        </w:rPr>
        <w:t>outcome variable</w:t>
      </w:r>
      <w:r w:rsidR="00B76EED">
        <w:rPr>
          <w:rFonts w:ascii="Times New Roman" w:eastAsia="Calibri" w:hAnsi="Times New Roman" w:cs="Times New Roman"/>
          <w:color w:val="0D0D0D"/>
          <w:sz w:val="24"/>
          <w:szCs w:val="24"/>
        </w:rPr>
        <w:t>s</w:t>
      </w:r>
      <w:r w:rsidR="00D50479" w:rsidRPr="004524A3">
        <w:rPr>
          <w:rFonts w:ascii="Times New Roman" w:eastAsia="Calibri" w:hAnsi="Times New Roman" w:cs="Times New Roman"/>
          <w:color w:val="0D0D0D"/>
          <w:sz w:val="24"/>
          <w:szCs w:val="24"/>
        </w:rPr>
        <w:t xml:space="preserve">, providing insights into the relative contributions of each independent variable to the variance in </w:t>
      </w:r>
      <w:r w:rsidR="0066283F" w:rsidRPr="004524A3">
        <w:rPr>
          <w:rFonts w:ascii="Times New Roman" w:eastAsia="Calibri" w:hAnsi="Times New Roman" w:cs="Times New Roman"/>
          <w:color w:val="0D0D0D"/>
          <w:sz w:val="24"/>
          <w:szCs w:val="24"/>
        </w:rPr>
        <w:t>enrollment success. The study hypothesized four</w:t>
      </w:r>
      <w:r w:rsidR="00D50479" w:rsidRPr="004524A3">
        <w:rPr>
          <w:rFonts w:ascii="Times New Roman" w:eastAsia="Calibri" w:hAnsi="Times New Roman" w:cs="Times New Roman"/>
          <w:color w:val="0D0D0D"/>
          <w:sz w:val="24"/>
          <w:szCs w:val="24"/>
        </w:rPr>
        <w:t xml:space="preserve"> non-directional hypothes</w:t>
      </w:r>
      <w:r w:rsidR="00B76EED">
        <w:rPr>
          <w:rFonts w:ascii="Times New Roman" w:eastAsia="Calibri" w:hAnsi="Times New Roman" w:cs="Times New Roman"/>
          <w:color w:val="0D0D0D"/>
          <w:sz w:val="24"/>
          <w:szCs w:val="24"/>
        </w:rPr>
        <w:t>e</w:t>
      </w:r>
      <w:r w:rsidR="00D50479" w:rsidRPr="004524A3">
        <w:rPr>
          <w:rFonts w:ascii="Times New Roman" w:eastAsia="Calibri" w:hAnsi="Times New Roman" w:cs="Times New Roman"/>
          <w:color w:val="0D0D0D"/>
          <w:sz w:val="24"/>
          <w:szCs w:val="24"/>
        </w:rPr>
        <w:t xml:space="preserve">s regarding the impact of </w:t>
      </w:r>
      <w:r w:rsidR="0066283F" w:rsidRPr="004524A3">
        <w:rPr>
          <w:rFonts w:ascii="Times New Roman" w:eastAsia="Calibri" w:hAnsi="Times New Roman" w:cs="Times New Roman"/>
          <w:color w:val="0D0D0D"/>
          <w:sz w:val="24"/>
          <w:szCs w:val="24"/>
        </w:rPr>
        <w:t>Feedback Clarity, Data Utilization, Decentralized Process, School Preference Consideration</w:t>
      </w:r>
      <w:r w:rsidR="00B76EED">
        <w:rPr>
          <w:rFonts w:ascii="Times New Roman" w:eastAsia="Calibri" w:hAnsi="Times New Roman" w:cs="Times New Roman"/>
          <w:color w:val="0D0D0D"/>
          <w:sz w:val="24"/>
          <w:szCs w:val="24"/>
        </w:rPr>
        <w:t>,</w:t>
      </w:r>
      <w:r w:rsidR="0066283F" w:rsidRPr="004524A3">
        <w:rPr>
          <w:rFonts w:ascii="Times New Roman" w:eastAsia="Calibri" w:hAnsi="Times New Roman" w:cs="Times New Roman"/>
          <w:color w:val="0D0D0D"/>
          <w:sz w:val="24"/>
          <w:szCs w:val="24"/>
        </w:rPr>
        <w:t xml:space="preserve"> and 30% Category A School Denial on enrollment success.</w:t>
      </w:r>
      <w:r w:rsidR="00A72130">
        <w:rPr>
          <w:rFonts w:ascii="Times New Roman" w:eastAsia="Calibri" w:hAnsi="Times New Roman" w:cs="Times New Roman"/>
          <w:color w:val="0D0D0D"/>
          <w:sz w:val="24"/>
          <w:szCs w:val="24"/>
        </w:rPr>
        <w:t xml:space="preserve"> </w:t>
      </w:r>
    </w:p>
    <w:p w14:paraId="27289820" w14:textId="192CC963" w:rsidR="00D50479" w:rsidRPr="00FB73DF" w:rsidRDefault="00B76EED" w:rsidP="00AD148D">
      <w:pPr>
        <w:spacing w:after="240" w:line="276" w:lineRule="auto"/>
        <w:jc w:val="both"/>
        <w:rPr>
          <w:rFonts w:ascii="Times New Roman" w:eastAsia="Calibri" w:hAnsi="Times New Roman" w:cs="Times New Roman"/>
          <w:sz w:val="24"/>
          <w:szCs w:val="24"/>
        </w:rPr>
      </w:pPr>
      <w:r w:rsidRPr="00FB73DF">
        <w:rPr>
          <w:rFonts w:ascii="Times New Roman" w:eastAsia="Calibri" w:hAnsi="Times New Roman" w:cs="Times New Roman"/>
          <w:sz w:val="24"/>
          <w:szCs w:val="24"/>
        </w:rPr>
        <w:t>Before</w:t>
      </w:r>
      <w:r w:rsidR="00D50479" w:rsidRPr="00FB73DF">
        <w:rPr>
          <w:rFonts w:ascii="Times New Roman" w:eastAsia="Calibri" w:hAnsi="Times New Roman" w:cs="Times New Roman"/>
          <w:sz w:val="24"/>
          <w:szCs w:val="24"/>
        </w:rPr>
        <w:t xml:space="preserve"> conducting a multiple regression analysis, preliminary assumption</w:t>
      </w:r>
      <w:r w:rsidR="00B94076" w:rsidRPr="00FB73DF">
        <w:rPr>
          <w:rFonts w:ascii="Times New Roman" w:eastAsia="Calibri" w:hAnsi="Times New Roman" w:cs="Times New Roman"/>
          <w:sz w:val="24"/>
          <w:szCs w:val="24"/>
        </w:rPr>
        <w:t>s</w:t>
      </w:r>
      <w:r w:rsidR="00D50479" w:rsidRPr="00FB73DF">
        <w:rPr>
          <w:rFonts w:ascii="Times New Roman" w:eastAsia="Calibri" w:hAnsi="Times New Roman" w:cs="Times New Roman"/>
          <w:sz w:val="24"/>
          <w:szCs w:val="24"/>
        </w:rPr>
        <w:t xml:space="preserve"> w</w:t>
      </w:r>
      <w:r w:rsidR="00B94076" w:rsidRPr="00FB73DF">
        <w:rPr>
          <w:rFonts w:ascii="Times New Roman" w:eastAsia="Calibri" w:hAnsi="Times New Roman" w:cs="Times New Roman"/>
          <w:sz w:val="24"/>
          <w:szCs w:val="24"/>
        </w:rPr>
        <w:t>ere</w:t>
      </w:r>
      <w:r w:rsidR="00D50479" w:rsidRPr="00FB73DF">
        <w:rPr>
          <w:rFonts w:ascii="Times New Roman" w:eastAsia="Calibri" w:hAnsi="Times New Roman" w:cs="Times New Roman"/>
          <w:sz w:val="24"/>
          <w:szCs w:val="24"/>
        </w:rPr>
        <w:t xml:space="preserve"> performed to check for sample size, outliers, normality, linearity</w:t>
      </w:r>
      <w:r w:rsidRPr="00FB73DF">
        <w:rPr>
          <w:rFonts w:ascii="Times New Roman" w:eastAsia="Calibri" w:hAnsi="Times New Roman" w:cs="Times New Roman"/>
          <w:sz w:val="24"/>
          <w:szCs w:val="24"/>
        </w:rPr>
        <w:t>,</w:t>
      </w:r>
      <w:r w:rsidR="00D50479" w:rsidRPr="00FB73DF">
        <w:rPr>
          <w:rFonts w:ascii="Times New Roman" w:eastAsia="Calibri" w:hAnsi="Times New Roman" w:cs="Times New Roman"/>
          <w:sz w:val="24"/>
          <w:szCs w:val="24"/>
        </w:rPr>
        <w:t xml:space="preserve"> and homoscedasticity.</w:t>
      </w:r>
      <w:r w:rsidR="00B94076" w:rsidRPr="00FB73DF">
        <w:rPr>
          <w:rFonts w:ascii="Times New Roman" w:eastAsia="Calibri" w:hAnsi="Times New Roman" w:cs="Times New Roman"/>
          <w:sz w:val="24"/>
          <w:szCs w:val="24"/>
        </w:rPr>
        <w:t xml:space="preserve"> The results revealed </w:t>
      </w:r>
      <w:r w:rsidR="008F6DAC" w:rsidRPr="00FB73DF">
        <w:rPr>
          <w:rFonts w:ascii="Times New Roman" w:eastAsia="Calibri" w:hAnsi="Times New Roman" w:cs="Times New Roman"/>
          <w:sz w:val="24"/>
          <w:szCs w:val="24"/>
        </w:rPr>
        <w:t xml:space="preserve">that </w:t>
      </w:r>
      <w:r w:rsidRPr="00FB73DF">
        <w:rPr>
          <w:rFonts w:ascii="Times New Roman" w:eastAsia="Calibri" w:hAnsi="Times New Roman" w:cs="Times New Roman"/>
          <w:sz w:val="24"/>
          <w:szCs w:val="24"/>
        </w:rPr>
        <w:t xml:space="preserve">not </w:t>
      </w:r>
      <w:r w:rsidR="008F6DAC" w:rsidRPr="00FB73DF">
        <w:rPr>
          <w:rFonts w:ascii="Times New Roman" w:eastAsia="Calibri" w:hAnsi="Times New Roman" w:cs="Times New Roman"/>
          <w:sz w:val="24"/>
          <w:szCs w:val="24"/>
        </w:rPr>
        <w:t>all</w:t>
      </w:r>
      <w:r w:rsidR="00B94076" w:rsidRPr="00FB73DF">
        <w:rPr>
          <w:rFonts w:ascii="Times New Roman" w:eastAsia="Calibri" w:hAnsi="Times New Roman" w:cs="Times New Roman"/>
          <w:sz w:val="24"/>
          <w:szCs w:val="24"/>
        </w:rPr>
        <w:t xml:space="preserve"> the assumptions were</w:t>
      </w:r>
      <w:r w:rsidRPr="00FB73DF">
        <w:rPr>
          <w:rFonts w:ascii="Times New Roman" w:eastAsia="Calibri" w:hAnsi="Times New Roman" w:cs="Times New Roman"/>
          <w:sz w:val="24"/>
          <w:szCs w:val="24"/>
        </w:rPr>
        <w:t xml:space="preserve"> not</w:t>
      </w:r>
      <w:r w:rsidR="00B94076" w:rsidRPr="00FB73DF">
        <w:rPr>
          <w:rFonts w:ascii="Times New Roman" w:eastAsia="Calibri" w:hAnsi="Times New Roman" w:cs="Times New Roman"/>
          <w:sz w:val="24"/>
          <w:szCs w:val="24"/>
        </w:rPr>
        <w:t xml:space="preserve"> </w:t>
      </w:r>
      <w:r w:rsidR="008F6DAC" w:rsidRPr="00FB73DF">
        <w:rPr>
          <w:rFonts w:ascii="Times New Roman" w:eastAsia="Calibri" w:hAnsi="Times New Roman" w:cs="Times New Roman"/>
          <w:sz w:val="24"/>
          <w:szCs w:val="24"/>
        </w:rPr>
        <w:t>violated</w:t>
      </w:r>
      <w:r w:rsidR="00B94076" w:rsidRPr="00FB73DF">
        <w:rPr>
          <w:rFonts w:ascii="Times New Roman" w:eastAsia="Calibri" w:hAnsi="Times New Roman" w:cs="Times New Roman"/>
          <w:sz w:val="24"/>
          <w:szCs w:val="24"/>
        </w:rPr>
        <w:t>.</w:t>
      </w:r>
    </w:p>
    <w:p w14:paraId="5B60CE54" w14:textId="77777777" w:rsidR="00D50479" w:rsidRPr="004524A3" w:rsidRDefault="00D50479" w:rsidP="00AD148D">
      <w:pPr>
        <w:spacing w:after="240" w:line="276" w:lineRule="auto"/>
        <w:jc w:val="both"/>
        <w:rPr>
          <w:rFonts w:ascii="Times New Roman" w:eastAsia="Calibri" w:hAnsi="Times New Roman" w:cs="Times New Roman"/>
          <w:b/>
          <w:color w:val="0D0D0D"/>
          <w:sz w:val="24"/>
          <w:szCs w:val="24"/>
        </w:rPr>
      </w:pPr>
      <w:r w:rsidRPr="004524A3">
        <w:rPr>
          <w:rFonts w:ascii="Times New Roman" w:eastAsia="Calibri" w:hAnsi="Times New Roman" w:cs="Times New Roman"/>
          <w:b/>
          <w:color w:val="0D0D0D"/>
          <w:sz w:val="24"/>
          <w:szCs w:val="24"/>
        </w:rPr>
        <w:t>Sample Size</w:t>
      </w:r>
    </w:p>
    <w:p w14:paraId="2BD84A07" w14:textId="77777777"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Sample size is crucial for ensuring the generalizability of research findings. According to Pallant (2021), a sample size of at least 30 participants is typically recommended for most statistical analyses. However, for multiple regression, Field (2018) suggested a minimum of 10 to 15 cases per independent variable. In this study, with a sample size of 267 and 5 independent variables, there were approximately 53.4 cases per factor, exceeding the recommended guidelines.</w:t>
      </w:r>
    </w:p>
    <w:p w14:paraId="4EF43DF7" w14:textId="77777777" w:rsidR="00D50479" w:rsidRPr="00983D78" w:rsidRDefault="00D50479" w:rsidP="00AD148D">
      <w:pPr>
        <w:spacing w:after="240" w:line="276" w:lineRule="auto"/>
        <w:jc w:val="both"/>
        <w:rPr>
          <w:rFonts w:ascii="Times New Roman" w:eastAsia="Calibri" w:hAnsi="Times New Roman" w:cs="Times New Roman"/>
          <w:sz w:val="24"/>
          <w:szCs w:val="24"/>
        </w:rPr>
      </w:pPr>
      <w:r w:rsidRPr="00983D78">
        <w:rPr>
          <w:rFonts w:ascii="Times New Roman" w:eastAsia="Calibri" w:hAnsi="Times New Roman" w:cs="Times New Roman"/>
          <w:sz w:val="24"/>
          <w:szCs w:val="24"/>
        </w:rPr>
        <w:lastRenderedPageBreak/>
        <w:t>Furthermore, Garson (2012) proposed a rule of thumb for calculating the minimum sample size for multiple regression as N ≥ 50 + 8m (where m is the number of predictors). In this study, with m = 5, the required sample size was 90 (i.e., 50 + 8 * 5). As the actual sample size (N = 267) surpassed this threshold, the sample size was adequate for the multiple regression analysis.</w:t>
      </w:r>
    </w:p>
    <w:p w14:paraId="4EE4211A" w14:textId="77777777" w:rsidR="00D50479" w:rsidRPr="004524A3" w:rsidRDefault="00D50479" w:rsidP="00AD148D">
      <w:pPr>
        <w:spacing w:after="240" w:line="276" w:lineRule="auto"/>
        <w:jc w:val="both"/>
        <w:rPr>
          <w:rFonts w:ascii="Times New Roman" w:eastAsia="Calibri" w:hAnsi="Times New Roman" w:cs="Times New Roman"/>
          <w:b/>
          <w:color w:val="0D0D0D"/>
          <w:sz w:val="24"/>
          <w:szCs w:val="24"/>
        </w:rPr>
      </w:pPr>
      <w:r w:rsidRPr="004524A3">
        <w:rPr>
          <w:rFonts w:ascii="Times New Roman" w:eastAsia="Calibri" w:hAnsi="Times New Roman" w:cs="Times New Roman"/>
          <w:b/>
          <w:color w:val="0D0D0D"/>
          <w:sz w:val="24"/>
          <w:szCs w:val="24"/>
        </w:rPr>
        <w:t>Multicollinearity Test</w:t>
      </w:r>
    </w:p>
    <w:p w14:paraId="523EE00C" w14:textId="0B14B3CC"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To test for multicollinearity, the Variance Inflation Factor (VIF) and Tolerance values were examined (Daoud, 2017). Tolerance represents the proportion of variance in a predictor that is not explained by the other predictors (TOL = 1 - R²), while VIF is its reciprocal (VIF = 1 / Tolerance). High VIF values indicate potential multicollinearity issues. According to Daoud (2017), a VIF value greater than 10 suggests problematic multicollinearity, while a tolerance value below 0.1 indicates redundancy.</w:t>
      </w:r>
      <w:r w:rsidR="00060211">
        <w:rPr>
          <w:rFonts w:ascii="Times New Roman" w:eastAsia="Calibri" w:hAnsi="Times New Roman" w:cs="Times New Roman"/>
          <w:color w:val="0D0D0D"/>
          <w:sz w:val="24"/>
          <w:szCs w:val="24"/>
        </w:rPr>
        <w:t xml:space="preserve"> </w:t>
      </w:r>
      <w:r w:rsidR="00302924" w:rsidRPr="004524A3">
        <w:rPr>
          <w:rFonts w:ascii="Times New Roman" w:eastAsia="Calibri" w:hAnsi="Times New Roman" w:cs="Times New Roman"/>
          <w:color w:val="0D0D0D"/>
          <w:sz w:val="24"/>
          <w:szCs w:val="24"/>
        </w:rPr>
        <w:t>As shown in Table 1</w:t>
      </w:r>
      <w:r w:rsidRPr="004524A3">
        <w:rPr>
          <w:rFonts w:ascii="Times New Roman" w:eastAsia="Calibri" w:hAnsi="Times New Roman" w:cs="Times New Roman"/>
          <w:color w:val="0D0D0D"/>
          <w:sz w:val="24"/>
          <w:szCs w:val="24"/>
        </w:rPr>
        <w:t>, all VIF values were below 10 and all Tolerance values were above 0.1, indicating that multicollinearity was not a concern in this regression model.</w:t>
      </w:r>
    </w:p>
    <w:p w14:paraId="51261CD3" w14:textId="069B3E2C" w:rsidR="00D50479" w:rsidRPr="004524A3" w:rsidRDefault="00302924"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Table 1</w:t>
      </w:r>
      <w:r w:rsidR="00DD4DB7">
        <w:rPr>
          <w:rFonts w:ascii="Times New Roman" w:eastAsia="Calibri" w:hAnsi="Times New Roman" w:cs="Times New Roman"/>
          <w:color w:val="0D0D0D"/>
          <w:sz w:val="24"/>
          <w:szCs w:val="24"/>
        </w:rPr>
        <w:t>:</w:t>
      </w:r>
      <w:r w:rsidR="00D50479" w:rsidRPr="004524A3">
        <w:rPr>
          <w:rFonts w:ascii="Times New Roman" w:eastAsia="Calibri" w:hAnsi="Times New Roman" w:cs="Times New Roman"/>
          <w:color w:val="0D0D0D"/>
          <w:sz w:val="24"/>
          <w:szCs w:val="24"/>
        </w:rPr>
        <w:t xml:space="preserve"> Students’ Tolerance and VIF values for </w:t>
      </w:r>
      <w:r w:rsidR="00DD4DB7">
        <w:rPr>
          <w:rFonts w:ascii="Times New Roman" w:eastAsia="Calibri" w:hAnsi="Times New Roman" w:cs="Times New Roman"/>
          <w:color w:val="0D0D0D"/>
          <w:sz w:val="24"/>
          <w:szCs w:val="24"/>
        </w:rPr>
        <w:t xml:space="preserve">the </w:t>
      </w:r>
      <w:r w:rsidR="00D50479" w:rsidRPr="004524A3">
        <w:rPr>
          <w:rFonts w:ascii="Times New Roman" w:eastAsia="Calibri" w:hAnsi="Times New Roman" w:cs="Times New Roman"/>
          <w:color w:val="0D0D0D"/>
          <w:sz w:val="24"/>
          <w:szCs w:val="24"/>
        </w:rPr>
        <w:t>predictor variable</w:t>
      </w:r>
    </w:p>
    <w:tbl>
      <w:tblPr>
        <w:tblW w:w="0" w:type="auto"/>
        <w:tblBorders>
          <w:top w:val="single" w:sz="18" w:space="0" w:color="auto"/>
          <w:bottom w:val="single" w:sz="18" w:space="0" w:color="auto"/>
        </w:tblBorders>
        <w:shd w:val="clear" w:color="auto" w:fill="FFFFFF"/>
        <w:tblLook w:val="04A0" w:firstRow="1" w:lastRow="0" w:firstColumn="1" w:lastColumn="0" w:noHBand="0" w:noVBand="1"/>
      </w:tblPr>
      <w:tblGrid>
        <w:gridCol w:w="2979"/>
        <w:gridCol w:w="2783"/>
        <w:gridCol w:w="2035"/>
      </w:tblGrid>
      <w:tr w:rsidR="00D50479" w:rsidRPr="004524A3" w14:paraId="267BF4C6" w14:textId="77777777" w:rsidTr="00FA5E6C">
        <w:tc>
          <w:tcPr>
            <w:tcW w:w="2979" w:type="dxa"/>
            <w:tcBorders>
              <w:top w:val="single" w:sz="18" w:space="0" w:color="auto"/>
              <w:bottom w:val="single" w:sz="18" w:space="0" w:color="auto"/>
              <w:right w:val="nil"/>
            </w:tcBorders>
            <w:shd w:val="clear" w:color="auto" w:fill="FFFFFF"/>
          </w:tcPr>
          <w:p w14:paraId="3E2CBD25"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Times New Roman" w:hAnsi="Times New Roman" w:cs="Times New Roman"/>
                <w:b/>
                <w:bCs/>
                <w:caps/>
                <w:color w:val="0D0D0D"/>
                <w:sz w:val="24"/>
                <w:szCs w:val="24"/>
              </w:rPr>
              <w:t xml:space="preserve">Variable </w:t>
            </w:r>
          </w:p>
        </w:tc>
        <w:tc>
          <w:tcPr>
            <w:tcW w:w="2783" w:type="dxa"/>
            <w:tcBorders>
              <w:top w:val="single" w:sz="18" w:space="0" w:color="auto"/>
              <w:bottom w:val="single" w:sz="18" w:space="0" w:color="auto"/>
            </w:tcBorders>
            <w:shd w:val="clear" w:color="auto" w:fill="FFFFFF"/>
          </w:tcPr>
          <w:p w14:paraId="5560FCE5"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Times New Roman" w:hAnsi="Times New Roman" w:cs="Times New Roman"/>
                <w:b/>
                <w:bCs/>
                <w:caps/>
                <w:color w:val="0D0D0D"/>
                <w:sz w:val="24"/>
                <w:szCs w:val="24"/>
              </w:rPr>
              <w:t>Tolerance</w:t>
            </w:r>
          </w:p>
        </w:tc>
        <w:tc>
          <w:tcPr>
            <w:tcW w:w="2035" w:type="dxa"/>
            <w:tcBorders>
              <w:top w:val="single" w:sz="18" w:space="0" w:color="auto"/>
              <w:bottom w:val="single" w:sz="18" w:space="0" w:color="auto"/>
            </w:tcBorders>
            <w:shd w:val="clear" w:color="auto" w:fill="FFFFFF"/>
          </w:tcPr>
          <w:p w14:paraId="04D2CFD6" w14:textId="77777777" w:rsidR="00D50479" w:rsidRPr="004524A3" w:rsidRDefault="00D50479" w:rsidP="00AD148D">
            <w:pPr>
              <w:spacing w:after="200" w:line="276" w:lineRule="auto"/>
              <w:jc w:val="both"/>
              <w:rPr>
                <w:rFonts w:ascii="Times New Roman" w:eastAsia="Times New Roman" w:hAnsi="Times New Roman" w:cs="Times New Roman"/>
                <w:bCs/>
                <w:caps/>
                <w:color w:val="0D0D0D"/>
                <w:sz w:val="24"/>
                <w:szCs w:val="24"/>
              </w:rPr>
            </w:pPr>
            <w:r w:rsidRPr="004524A3">
              <w:rPr>
                <w:rFonts w:ascii="Times New Roman" w:eastAsia="Times New Roman" w:hAnsi="Times New Roman" w:cs="Times New Roman"/>
                <w:b/>
                <w:bCs/>
                <w:caps/>
                <w:color w:val="0D0D0D"/>
                <w:sz w:val="24"/>
                <w:szCs w:val="24"/>
              </w:rPr>
              <w:t>VIF</w:t>
            </w:r>
          </w:p>
        </w:tc>
      </w:tr>
      <w:tr w:rsidR="00D50479" w:rsidRPr="004524A3" w14:paraId="1E84A951" w14:textId="77777777" w:rsidTr="00FA5E6C">
        <w:tc>
          <w:tcPr>
            <w:tcW w:w="2979" w:type="dxa"/>
            <w:tcBorders>
              <w:top w:val="single" w:sz="18" w:space="0" w:color="auto"/>
              <w:bottom w:val="nil"/>
              <w:right w:val="nil"/>
            </w:tcBorders>
            <w:shd w:val="clear" w:color="auto" w:fill="FFFFFF"/>
          </w:tcPr>
          <w:p w14:paraId="7C6A13F6"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Calibri" w:hAnsi="Times New Roman" w:cs="Times New Roman"/>
                <w:color w:val="0D0D0D"/>
                <w:sz w:val="24"/>
                <w:szCs w:val="24"/>
              </w:rPr>
              <w:t>Feedback Clarity (Q1)</w:t>
            </w:r>
          </w:p>
        </w:tc>
        <w:tc>
          <w:tcPr>
            <w:tcW w:w="2783" w:type="dxa"/>
            <w:tcBorders>
              <w:top w:val="single" w:sz="18" w:space="0" w:color="auto"/>
              <w:left w:val="nil"/>
              <w:bottom w:val="nil"/>
              <w:right w:val="nil"/>
            </w:tcBorders>
            <w:shd w:val="clear" w:color="auto" w:fill="FFFFFF"/>
          </w:tcPr>
          <w:p w14:paraId="0C8CC1E0"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0.969</w:t>
            </w:r>
          </w:p>
        </w:tc>
        <w:tc>
          <w:tcPr>
            <w:tcW w:w="2035" w:type="dxa"/>
            <w:tcBorders>
              <w:top w:val="single" w:sz="18" w:space="0" w:color="auto"/>
              <w:left w:val="nil"/>
              <w:bottom w:val="nil"/>
            </w:tcBorders>
            <w:shd w:val="clear" w:color="auto" w:fill="FFFFFF"/>
          </w:tcPr>
          <w:p w14:paraId="0EF66B72"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1.032</w:t>
            </w:r>
          </w:p>
        </w:tc>
      </w:tr>
      <w:tr w:rsidR="00D50479" w:rsidRPr="004524A3" w14:paraId="369E17DA" w14:textId="77777777" w:rsidTr="00FA5E6C">
        <w:tc>
          <w:tcPr>
            <w:tcW w:w="2979" w:type="dxa"/>
            <w:tcBorders>
              <w:top w:val="nil"/>
              <w:bottom w:val="nil"/>
              <w:right w:val="nil"/>
            </w:tcBorders>
            <w:shd w:val="clear" w:color="auto" w:fill="FFFFFF"/>
          </w:tcPr>
          <w:p w14:paraId="6260450A"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Calibri" w:hAnsi="Times New Roman" w:cs="Times New Roman"/>
                <w:color w:val="0D0D0D"/>
                <w:sz w:val="24"/>
                <w:szCs w:val="24"/>
              </w:rPr>
              <w:t xml:space="preserve">Data Utilization </w:t>
            </w:r>
          </w:p>
        </w:tc>
        <w:tc>
          <w:tcPr>
            <w:tcW w:w="2783" w:type="dxa"/>
            <w:tcBorders>
              <w:top w:val="nil"/>
              <w:left w:val="nil"/>
              <w:bottom w:val="nil"/>
              <w:right w:val="nil"/>
            </w:tcBorders>
            <w:shd w:val="clear" w:color="auto" w:fill="FFFFFF"/>
          </w:tcPr>
          <w:p w14:paraId="22458ED0"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0.966</w:t>
            </w:r>
          </w:p>
        </w:tc>
        <w:tc>
          <w:tcPr>
            <w:tcW w:w="2035" w:type="dxa"/>
            <w:tcBorders>
              <w:top w:val="nil"/>
              <w:left w:val="nil"/>
              <w:bottom w:val="nil"/>
            </w:tcBorders>
            <w:shd w:val="clear" w:color="auto" w:fill="FFFFFF"/>
          </w:tcPr>
          <w:p w14:paraId="618496E7"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1.035</w:t>
            </w:r>
          </w:p>
        </w:tc>
      </w:tr>
      <w:tr w:rsidR="00D50479" w:rsidRPr="004524A3" w14:paraId="5649C90C" w14:textId="77777777" w:rsidTr="00FA5E6C">
        <w:tc>
          <w:tcPr>
            <w:tcW w:w="2979" w:type="dxa"/>
            <w:tcBorders>
              <w:top w:val="nil"/>
              <w:bottom w:val="nil"/>
              <w:right w:val="nil"/>
            </w:tcBorders>
            <w:shd w:val="clear" w:color="auto" w:fill="FFFFFF"/>
          </w:tcPr>
          <w:p w14:paraId="6A05CA4E"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Calibri" w:hAnsi="Times New Roman" w:cs="Times New Roman"/>
                <w:color w:val="0D0D0D"/>
                <w:sz w:val="24"/>
                <w:szCs w:val="24"/>
              </w:rPr>
              <w:t xml:space="preserve">Decentralized Process </w:t>
            </w:r>
          </w:p>
        </w:tc>
        <w:tc>
          <w:tcPr>
            <w:tcW w:w="2783" w:type="dxa"/>
            <w:tcBorders>
              <w:top w:val="nil"/>
              <w:left w:val="nil"/>
              <w:bottom w:val="nil"/>
              <w:right w:val="nil"/>
            </w:tcBorders>
            <w:shd w:val="clear" w:color="auto" w:fill="FFFFFF"/>
          </w:tcPr>
          <w:p w14:paraId="7B2EF071"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0.994</w:t>
            </w:r>
          </w:p>
        </w:tc>
        <w:tc>
          <w:tcPr>
            <w:tcW w:w="2035" w:type="dxa"/>
            <w:tcBorders>
              <w:top w:val="nil"/>
              <w:left w:val="nil"/>
              <w:bottom w:val="nil"/>
            </w:tcBorders>
            <w:shd w:val="clear" w:color="auto" w:fill="FFFFFF"/>
          </w:tcPr>
          <w:p w14:paraId="52CB24A6"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1.006</w:t>
            </w:r>
          </w:p>
        </w:tc>
      </w:tr>
      <w:tr w:rsidR="00D50479" w:rsidRPr="004524A3" w14:paraId="50ED48D0" w14:textId="77777777" w:rsidTr="00FA5E6C">
        <w:tc>
          <w:tcPr>
            <w:tcW w:w="2979" w:type="dxa"/>
            <w:tcBorders>
              <w:top w:val="nil"/>
              <w:bottom w:val="nil"/>
              <w:right w:val="nil"/>
            </w:tcBorders>
            <w:shd w:val="clear" w:color="auto" w:fill="FFFFFF"/>
          </w:tcPr>
          <w:p w14:paraId="67B2BBE8"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Calibri" w:hAnsi="Times New Roman" w:cs="Times New Roman"/>
                <w:color w:val="0D0D0D"/>
                <w:sz w:val="24"/>
                <w:szCs w:val="24"/>
              </w:rPr>
              <w:t>School Preference Consideration</w:t>
            </w:r>
          </w:p>
        </w:tc>
        <w:tc>
          <w:tcPr>
            <w:tcW w:w="2783" w:type="dxa"/>
            <w:tcBorders>
              <w:top w:val="nil"/>
              <w:left w:val="nil"/>
              <w:bottom w:val="nil"/>
              <w:right w:val="nil"/>
            </w:tcBorders>
            <w:shd w:val="clear" w:color="auto" w:fill="FFFFFF"/>
          </w:tcPr>
          <w:p w14:paraId="4EDF985C"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0.960</w:t>
            </w:r>
          </w:p>
        </w:tc>
        <w:tc>
          <w:tcPr>
            <w:tcW w:w="2035" w:type="dxa"/>
            <w:tcBorders>
              <w:top w:val="nil"/>
              <w:left w:val="nil"/>
              <w:bottom w:val="nil"/>
            </w:tcBorders>
            <w:shd w:val="clear" w:color="auto" w:fill="FFFFFF"/>
          </w:tcPr>
          <w:p w14:paraId="72E4DC88"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1.042</w:t>
            </w:r>
          </w:p>
        </w:tc>
      </w:tr>
      <w:tr w:rsidR="00D50479" w:rsidRPr="004524A3" w14:paraId="28E0E7B9" w14:textId="77777777" w:rsidTr="00FA5E6C">
        <w:tc>
          <w:tcPr>
            <w:tcW w:w="2979" w:type="dxa"/>
            <w:tcBorders>
              <w:top w:val="nil"/>
              <w:bottom w:val="single" w:sz="18" w:space="0" w:color="auto"/>
              <w:right w:val="nil"/>
            </w:tcBorders>
            <w:shd w:val="clear" w:color="auto" w:fill="FFFFFF"/>
          </w:tcPr>
          <w:p w14:paraId="3A0F33B2" w14:textId="77777777" w:rsidR="00D50479" w:rsidRPr="004524A3" w:rsidRDefault="00D50479" w:rsidP="00AD148D">
            <w:pPr>
              <w:spacing w:after="200" w:line="276" w:lineRule="auto"/>
              <w:jc w:val="both"/>
              <w:rPr>
                <w:rFonts w:ascii="Times New Roman" w:eastAsia="Times New Roman" w:hAnsi="Times New Roman" w:cs="Times New Roman"/>
                <w:b/>
                <w:bCs/>
                <w:caps/>
                <w:color w:val="0D0D0D"/>
                <w:sz w:val="24"/>
                <w:szCs w:val="24"/>
              </w:rPr>
            </w:pPr>
            <w:r w:rsidRPr="004524A3">
              <w:rPr>
                <w:rFonts w:ascii="Times New Roman" w:eastAsia="Calibri" w:hAnsi="Times New Roman" w:cs="Times New Roman"/>
                <w:color w:val="0D0D0D"/>
                <w:sz w:val="24"/>
                <w:szCs w:val="24"/>
              </w:rPr>
              <w:t xml:space="preserve">Category A School Denial </w:t>
            </w:r>
          </w:p>
        </w:tc>
        <w:tc>
          <w:tcPr>
            <w:tcW w:w="2783" w:type="dxa"/>
            <w:tcBorders>
              <w:top w:val="nil"/>
              <w:left w:val="nil"/>
              <w:bottom w:val="single" w:sz="18" w:space="0" w:color="auto"/>
              <w:right w:val="nil"/>
            </w:tcBorders>
            <w:shd w:val="clear" w:color="auto" w:fill="FFFFFF"/>
          </w:tcPr>
          <w:p w14:paraId="743F0F39"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0.958</w:t>
            </w:r>
          </w:p>
        </w:tc>
        <w:tc>
          <w:tcPr>
            <w:tcW w:w="2035" w:type="dxa"/>
            <w:tcBorders>
              <w:top w:val="nil"/>
              <w:left w:val="nil"/>
              <w:bottom w:val="single" w:sz="18" w:space="0" w:color="auto"/>
            </w:tcBorders>
            <w:shd w:val="clear" w:color="auto" w:fill="FFFFFF"/>
          </w:tcPr>
          <w:p w14:paraId="3237FC90" w14:textId="77777777" w:rsidR="00D50479" w:rsidRPr="004524A3" w:rsidRDefault="00D50479" w:rsidP="00AD148D">
            <w:pPr>
              <w:spacing w:after="200" w:line="276" w:lineRule="auto"/>
              <w:jc w:val="both"/>
              <w:rPr>
                <w:rFonts w:ascii="Times New Roman" w:eastAsia="Times New Roman" w:hAnsi="Times New Roman" w:cs="Times New Roman"/>
                <w:color w:val="0D0D0D"/>
                <w:sz w:val="24"/>
                <w:szCs w:val="24"/>
              </w:rPr>
            </w:pPr>
            <w:r w:rsidRPr="004524A3">
              <w:rPr>
                <w:rFonts w:ascii="Times New Roman" w:eastAsia="Calibri" w:hAnsi="Times New Roman" w:cs="Times New Roman"/>
                <w:color w:val="0D0D0D"/>
                <w:sz w:val="24"/>
                <w:szCs w:val="24"/>
              </w:rPr>
              <w:t>1.044</w:t>
            </w:r>
          </w:p>
        </w:tc>
      </w:tr>
    </w:tbl>
    <w:p w14:paraId="57265BA7" w14:textId="77777777" w:rsidR="00D50479" w:rsidRPr="004524A3" w:rsidRDefault="00D50479" w:rsidP="00AD148D">
      <w:pPr>
        <w:spacing w:after="240" w:line="276" w:lineRule="auto"/>
        <w:jc w:val="both"/>
        <w:rPr>
          <w:rFonts w:ascii="Calibri" w:eastAsia="Calibri" w:hAnsi="Calibri" w:cs="Times New Roman"/>
          <w:color w:val="0D0D0D"/>
        </w:rPr>
      </w:pPr>
      <w:r w:rsidRPr="004524A3">
        <w:rPr>
          <w:rFonts w:ascii="Calibri" w:eastAsia="Calibri" w:hAnsi="Calibri" w:cs="Times New Roman"/>
          <w:color w:val="0D0D0D"/>
        </w:rPr>
        <w:tab/>
      </w:r>
    </w:p>
    <w:p w14:paraId="7596FF64" w14:textId="77777777"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Source filed work, 2024</w:t>
      </w:r>
    </w:p>
    <w:p w14:paraId="3CD0847B" w14:textId="47056D38"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Test for linearity</w:t>
      </w:r>
      <w:r w:rsidR="00DD4DB7">
        <w:rPr>
          <w:rFonts w:ascii="Times New Roman" w:eastAsia="Calibri" w:hAnsi="Times New Roman" w:cs="Times New Roman"/>
          <w:color w:val="0D0D0D"/>
          <w:sz w:val="24"/>
          <w:szCs w:val="24"/>
        </w:rPr>
        <w:t>,</w:t>
      </w:r>
      <w:r w:rsidRPr="004524A3">
        <w:rPr>
          <w:rFonts w:ascii="Times New Roman" w:eastAsia="Calibri" w:hAnsi="Times New Roman" w:cs="Times New Roman"/>
          <w:color w:val="0D0D0D"/>
          <w:sz w:val="24"/>
          <w:szCs w:val="24"/>
        </w:rPr>
        <w:t xml:space="preserve"> Normality</w:t>
      </w:r>
      <w:r w:rsidR="00DD4DB7">
        <w:rPr>
          <w:rFonts w:ascii="Times New Roman" w:eastAsia="Calibri" w:hAnsi="Times New Roman" w:cs="Times New Roman"/>
          <w:color w:val="0D0D0D"/>
          <w:sz w:val="24"/>
          <w:szCs w:val="24"/>
        </w:rPr>
        <w:t>,</w:t>
      </w:r>
      <w:r w:rsidRPr="004524A3">
        <w:rPr>
          <w:rFonts w:ascii="Times New Roman" w:eastAsia="Calibri" w:hAnsi="Times New Roman" w:cs="Times New Roman"/>
          <w:color w:val="0D0D0D"/>
          <w:sz w:val="24"/>
          <w:szCs w:val="24"/>
        </w:rPr>
        <w:t xml:space="preserve"> and Homoscedasticity</w:t>
      </w:r>
    </w:p>
    <w:p w14:paraId="267744EB" w14:textId="77777777"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To evaluate the assumptions of linearity, normality, and homoscedasticity, residual plots are examined. Residuals, which are the differences between observed and predicted values, should be randomly distributed around zero when these assumptions hold.</w:t>
      </w:r>
    </w:p>
    <w:p w14:paraId="4B24DB6C" w14:textId="6338FC3D" w:rsidR="00D50479"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 xml:space="preserve">Normality was assessed using a histogram, </w:t>
      </w:r>
      <w:r w:rsidR="005E0565" w:rsidRPr="004524A3">
        <w:rPr>
          <w:rFonts w:ascii="Times New Roman" w:eastAsia="Calibri" w:hAnsi="Times New Roman" w:cs="Times New Roman"/>
          <w:color w:val="0D0D0D"/>
          <w:sz w:val="24"/>
          <w:szCs w:val="24"/>
        </w:rPr>
        <w:t xml:space="preserve">a scatter plot </w:t>
      </w:r>
      <w:r w:rsidR="005E0565" w:rsidRPr="00983D78">
        <w:rPr>
          <w:rFonts w:ascii="Times New Roman" w:eastAsia="Calibri" w:hAnsi="Times New Roman" w:cs="Times New Roman"/>
          <w:sz w:val="24"/>
          <w:szCs w:val="24"/>
        </w:rPr>
        <w:t>(Figure 2)</w:t>
      </w:r>
      <w:r w:rsidRPr="00983D78">
        <w:rPr>
          <w:rFonts w:ascii="Times New Roman" w:eastAsia="Calibri" w:hAnsi="Times New Roman" w:cs="Times New Roman"/>
          <w:sz w:val="24"/>
          <w:szCs w:val="24"/>
        </w:rPr>
        <w:t xml:space="preserve">, </w:t>
      </w:r>
      <w:r w:rsidRPr="004524A3">
        <w:rPr>
          <w:rFonts w:ascii="Times New Roman" w:eastAsia="Calibri" w:hAnsi="Times New Roman" w:cs="Times New Roman"/>
          <w:color w:val="0D0D0D"/>
          <w:sz w:val="24"/>
          <w:szCs w:val="24"/>
        </w:rPr>
        <w:t xml:space="preserve">and a Normal P-P Plot of Regression Standardized Residuals. A histogram approximating a bell-shaped normal curve, coupled with a nearly straight line on the normal probability plot, </w:t>
      </w:r>
      <w:r w:rsidR="00DD4DB7">
        <w:rPr>
          <w:rFonts w:ascii="Times New Roman" w:eastAsia="Calibri" w:hAnsi="Times New Roman" w:cs="Times New Roman"/>
          <w:color w:val="0D0D0D"/>
          <w:sz w:val="24"/>
          <w:szCs w:val="24"/>
        </w:rPr>
        <w:t>is</w:t>
      </w:r>
      <w:r w:rsidRPr="004524A3">
        <w:rPr>
          <w:rFonts w:ascii="Times New Roman" w:eastAsia="Calibri" w:hAnsi="Times New Roman" w:cs="Times New Roman"/>
          <w:color w:val="0D0D0D"/>
          <w:sz w:val="24"/>
          <w:szCs w:val="24"/>
        </w:rPr>
        <w:t xml:space="preserve"> indicative of norm</w:t>
      </w:r>
      <w:r w:rsidR="005E0565" w:rsidRPr="004524A3">
        <w:rPr>
          <w:rFonts w:ascii="Times New Roman" w:eastAsia="Calibri" w:hAnsi="Times New Roman" w:cs="Times New Roman"/>
          <w:color w:val="0D0D0D"/>
          <w:sz w:val="24"/>
          <w:szCs w:val="24"/>
        </w:rPr>
        <w:t xml:space="preserve">ality. The histogram </w:t>
      </w:r>
      <w:r w:rsidR="005E0565" w:rsidRPr="00983D78">
        <w:rPr>
          <w:rFonts w:ascii="Times New Roman" w:eastAsia="Calibri" w:hAnsi="Times New Roman" w:cs="Times New Roman"/>
          <w:sz w:val="24"/>
          <w:szCs w:val="24"/>
        </w:rPr>
        <w:t>(Figure 3</w:t>
      </w:r>
      <w:r w:rsidRPr="00983D78">
        <w:rPr>
          <w:rFonts w:ascii="Times New Roman" w:eastAsia="Calibri" w:hAnsi="Times New Roman" w:cs="Times New Roman"/>
          <w:sz w:val="24"/>
          <w:szCs w:val="24"/>
        </w:rPr>
        <w:t xml:space="preserve">) </w:t>
      </w:r>
      <w:r w:rsidRPr="004524A3">
        <w:rPr>
          <w:rFonts w:ascii="Times New Roman" w:eastAsia="Calibri" w:hAnsi="Times New Roman" w:cs="Times New Roman"/>
          <w:color w:val="0D0D0D"/>
          <w:sz w:val="24"/>
          <w:szCs w:val="24"/>
        </w:rPr>
        <w:t xml:space="preserve">closely resembled a normal distribution (mean = 8.23E-16, standard deviation </w:t>
      </w:r>
      <w:r w:rsidRPr="004524A3">
        <w:rPr>
          <w:rFonts w:ascii="Times New Roman" w:eastAsia="Calibri" w:hAnsi="Times New Roman" w:cs="Times New Roman"/>
          <w:color w:val="0D0D0D"/>
          <w:sz w:val="24"/>
          <w:szCs w:val="24"/>
        </w:rPr>
        <w:lastRenderedPageBreak/>
        <w:t xml:space="preserve">= 0.980), and the normal probability plot exhibited approximate linearity. Furthermore, </w:t>
      </w:r>
      <w:r w:rsidR="00A6056E" w:rsidRPr="004524A3">
        <w:rPr>
          <w:rFonts w:ascii="Times New Roman" w:eastAsia="Calibri" w:hAnsi="Times New Roman" w:cs="Times New Roman"/>
          <w:color w:val="0D0D0D"/>
          <w:sz w:val="24"/>
          <w:szCs w:val="24"/>
        </w:rPr>
        <w:t xml:space="preserve">the Normal P-P Plot </w:t>
      </w:r>
      <w:r w:rsidR="00A6056E" w:rsidRPr="00983D78">
        <w:rPr>
          <w:rFonts w:ascii="Times New Roman" w:eastAsia="Calibri" w:hAnsi="Times New Roman" w:cs="Times New Roman"/>
          <w:sz w:val="24"/>
          <w:szCs w:val="24"/>
        </w:rPr>
        <w:t>(</w:t>
      </w:r>
      <w:r w:rsidR="005E0565" w:rsidRPr="00983D78">
        <w:rPr>
          <w:rFonts w:ascii="Times New Roman" w:eastAsia="Calibri" w:hAnsi="Times New Roman" w:cs="Times New Roman"/>
          <w:sz w:val="24"/>
          <w:szCs w:val="24"/>
        </w:rPr>
        <w:t>Figure 4</w:t>
      </w:r>
      <w:r w:rsidRPr="00983D78">
        <w:rPr>
          <w:rFonts w:ascii="Times New Roman" w:eastAsia="Calibri" w:hAnsi="Times New Roman" w:cs="Times New Roman"/>
          <w:sz w:val="24"/>
          <w:szCs w:val="24"/>
        </w:rPr>
        <w:t xml:space="preserve">) </w:t>
      </w:r>
      <w:r w:rsidRPr="004524A3">
        <w:rPr>
          <w:rFonts w:ascii="Times New Roman" w:eastAsia="Calibri" w:hAnsi="Times New Roman" w:cs="Times New Roman"/>
          <w:color w:val="0D0D0D"/>
          <w:sz w:val="24"/>
          <w:szCs w:val="24"/>
        </w:rPr>
        <w:t xml:space="preserve">of Regression Standardized Residuals (Enrollment Success) showed data points clustering near the diagonal line, confirming that the residuals were normally distributed. These findings support the assumption of normality. </w:t>
      </w:r>
      <w:r w:rsidR="00F04BB4">
        <w:rPr>
          <w:rFonts w:ascii="Times New Roman" w:eastAsia="Calibri" w:hAnsi="Times New Roman" w:cs="Times New Roman"/>
          <w:color w:val="0D0D0D"/>
          <w:sz w:val="24"/>
          <w:szCs w:val="24"/>
        </w:rPr>
        <w:t xml:space="preserve"> </w:t>
      </w:r>
      <w:r w:rsidR="005E0565" w:rsidRPr="004524A3">
        <w:rPr>
          <w:rFonts w:ascii="Times New Roman" w:eastAsia="Calibri" w:hAnsi="Times New Roman" w:cs="Times New Roman"/>
          <w:color w:val="0D0D0D"/>
          <w:sz w:val="24"/>
          <w:szCs w:val="24"/>
        </w:rPr>
        <w:t>Figure 2</w:t>
      </w:r>
      <w:r w:rsidRPr="004524A3">
        <w:rPr>
          <w:rFonts w:ascii="Times New Roman" w:eastAsia="Calibri" w:hAnsi="Times New Roman" w:cs="Times New Roman"/>
          <w:color w:val="0D0D0D"/>
          <w:sz w:val="24"/>
          <w:szCs w:val="24"/>
        </w:rPr>
        <w:t>: Students’ Scatter plot of Regression Standardized Residuals against Regression Standardized Predicted value.</w:t>
      </w:r>
    </w:p>
    <w:p w14:paraId="6002AA94" w14:textId="77777777"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 xml:space="preserve"> </w:t>
      </w:r>
      <w:r w:rsidRPr="004524A3">
        <w:rPr>
          <w:rFonts w:ascii="Times New Roman" w:eastAsia="Calibri" w:hAnsi="Times New Roman" w:cs="Times New Roman"/>
          <w:noProof/>
          <w:color w:val="0D0D0D"/>
          <w:sz w:val="24"/>
          <w:szCs w:val="24"/>
          <w14:ligatures w14:val="standardContextual"/>
        </w:rPr>
        <w:drawing>
          <wp:inline distT="0" distB="0" distL="0" distR="0" wp14:anchorId="74CC3D49" wp14:editId="340929BE">
            <wp:extent cx="5572125" cy="2762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371).png"/>
                    <pic:cNvPicPr/>
                  </pic:nvPicPr>
                  <pic:blipFill>
                    <a:blip r:embed="rId8">
                      <a:extLst>
                        <a:ext uri="{28A0092B-C50C-407E-A947-70E740481C1C}">
                          <a14:useLocalDpi xmlns:a14="http://schemas.microsoft.com/office/drawing/2010/main" val="0"/>
                        </a:ext>
                      </a:extLst>
                    </a:blip>
                    <a:stretch>
                      <a:fillRect/>
                    </a:stretch>
                  </pic:blipFill>
                  <pic:spPr>
                    <a:xfrm>
                      <a:off x="0" y="0"/>
                      <a:ext cx="5572125" cy="2762250"/>
                    </a:xfrm>
                    <a:prstGeom prst="rect">
                      <a:avLst/>
                    </a:prstGeom>
                  </pic:spPr>
                </pic:pic>
              </a:graphicData>
            </a:graphic>
          </wp:inline>
        </w:drawing>
      </w:r>
    </w:p>
    <w:p w14:paraId="6156E2A1" w14:textId="4803B1B6" w:rsidR="00D50479" w:rsidRPr="004524A3" w:rsidRDefault="00CC3798" w:rsidP="00AD148D">
      <w:pPr>
        <w:spacing w:after="240" w:line="276" w:lineRule="auto"/>
        <w:jc w:val="both"/>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Figure 2</w:t>
      </w:r>
      <w:r w:rsidR="00D50479" w:rsidRPr="004524A3">
        <w:rPr>
          <w:rFonts w:ascii="Times New Roman" w:eastAsia="Calibri" w:hAnsi="Times New Roman" w:cs="Times New Roman"/>
          <w:color w:val="0D0D0D"/>
          <w:sz w:val="24"/>
          <w:szCs w:val="24"/>
        </w:rPr>
        <w:t>: Students’ Histogram of Regression Standardized Residuals</w:t>
      </w:r>
    </w:p>
    <w:p w14:paraId="5D4125C9" w14:textId="77777777" w:rsidR="00D50479" w:rsidRPr="004524A3" w:rsidRDefault="00D50479" w:rsidP="00AD148D">
      <w:pPr>
        <w:spacing w:after="24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noProof/>
          <w:color w:val="0D0D0D"/>
          <w:sz w:val="24"/>
          <w:szCs w:val="24"/>
          <w14:ligatures w14:val="standardContextual"/>
        </w:rPr>
        <w:drawing>
          <wp:inline distT="0" distB="0" distL="0" distR="0" wp14:anchorId="7DF44193" wp14:editId="1E84A86E">
            <wp:extent cx="5700532" cy="29800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372).png"/>
                    <pic:cNvPicPr/>
                  </pic:nvPicPr>
                  <pic:blipFill>
                    <a:blip r:embed="rId9">
                      <a:extLst>
                        <a:ext uri="{28A0092B-C50C-407E-A947-70E740481C1C}">
                          <a14:useLocalDpi xmlns:a14="http://schemas.microsoft.com/office/drawing/2010/main" val="0"/>
                        </a:ext>
                      </a:extLst>
                    </a:blip>
                    <a:stretch>
                      <a:fillRect/>
                    </a:stretch>
                  </pic:blipFill>
                  <pic:spPr>
                    <a:xfrm>
                      <a:off x="0" y="0"/>
                      <a:ext cx="5708505" cy="2984223"/>
                    </a:xfrm>
                    <a:prstGeom prst="rect">
                      <a:avLst/>
                    </a:prstGeom>
                  </pic:spPr>
                </pic:pic>
              </a:graphicData>
            </a:graphic>
          </wp:inline>
        </w:drawing>
      </w:r>
    </w:p>
    <w:p w14:paraId="27536E0E" w14:textId="6A68AC3A" w:rsidR="00D50479" w:rsidRPr="004524A3" w:rsidRDefault="00CC3798" w:rsidP="00AD148D">
      <w:pPr>
        <w:spacing w:after="240" w:line="276" w:lineRule="auto"/>
        <w:jc w:val="both"/>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Figure 3</w:t>
      </w:r>
      <w:r w:rsidR="00D50479" w:rsidRPr="004524A3">
        <w:rPr>
          <w:rFonts w:ascii="Times New Roman" w:eastAsia="Calibri" w:hAnsi="Times New Roman" w:cs="Times New Roman"/>
          <w:color w:val="0D0D0D"/>
          <w:sz w:val="24"/>
          <w:szCs w:val="24"/>
        </w:rPr>
        <w:t>: Students’ Normal Probability Plot</w:t>
      </w:r>
    </w:p>
    <w:p w14:paraId="46B1E75A" w14:textId="77777777" w:rsidR="00D50479" w:rsidRPr="004524A3" w:rsidRDefault="00D50479" w:rsidP="00AD148D">
      <w:pPr>
        <w:spacing w:after="240" w:line="276" w:lineRule="auto"/>
        <w:jc w:val="both"/>
        <w:rPr>
          <w:rFonts w:ascii="Calibri" w:eastAsia="Calibri" w:hAnsi="Calibri" w:cs="Times New Roman"/>
          <w:color w:val="0D0D0D"/>
        </w:rPr>
      </w:pPr>
      <w:r w:rsidRPr="004524A3">
        <w:rPr>
          <w:rFonts w:ascii="Calibri" w:eastAsia="Calibri" w:hAnsi="Calibri" w:cs="Times New Roman"/>
          <w:noProof/>
          <w:color w:val="0D0D0D"/>
          <w14:ligatures w14:val="standardContextual"/>
        </w:rPr>
        <w:lastRenderedPageBreak/>
        <w:drawing>
          <wp:inline distT="0" distB="0" distL="0" distR="0" wp14:anchorId="623E3988" wp14:editId="083211BE">
            <wp:extent cx="6000750" cy="43511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373).png"/>
                    <pic:cNvPicPr/>
                  </pic:nvPicPr>
                  <pic:blipFill>
                    <a:blip r:embed="rId10">
                      <a:extLst>
                        <a:ext uri="{28A0092B-C50C-407E-A947-70E740481C1C}">
                          <a14:useLocalDpi xmlns:a14="http://schemas.microsoft.com/office/drawing/2010/main" val="0"/>
                        </a:ext>
                      </a:extLst>
                    </a:blip>
                    <a:stretch>
                      <a:fillRect/>
                    </a:stretch>
                  </pic:blipFill>
                  <pic:spPr>
                    <a:xfrm>
                      <a:off x="0" y="0"/>
                      <a:ext cx="6025975" cy="4369443"/>
                    </a:xfrm>
                    <a:prstGeom prst="rect">
                      <a:avLst/>
                    </a:prstGeom>
                  </pic:spPr>
                </pic:pic>
              </a:graphicData>
            </a:graphic>
          </wp:inline>
        </w:drawing>
      </w:r>
    </w:p>
    <w:p w14:paraId="4E72CA3E" w14:textId="07075187" w:rsidR="00CC3798" w:rsidRPr="004524A3" w:rsidRDefault="00CC3798" w:rsidP="00AD148D">
      <w:pPr>
        <w:spacing w:after="240" w:line="276" w:lineRule="auto"/>
        <w:jc w:val="both"/>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Figure 4</w:t>
      </w:r>
      <w:r w:rsidR="006D2A2B">
        <w:rPr>
          <w:rFonts w:ascii="Times New Roman" w:eastAsia="Calibri" w:hAnsi="Times New Roman" w:cs="Times New Roman"/>
          <w:color w:val="0D0D0D"/>
          <w:sz w:val="24"/>
          <w:szCs w:val="24"/>
        </w:rPr>
        <w:t>: Students’</w:t>
      </w:r>
      <w:r w:rsidR="006D2A2B" w:rsidRPr="006D2A2B">
        <w:rPr>
          <w:rFonts w:ascii="Times New Roman" w:eastAsia="Calibri" w:hAnsi="Times New Roman" w:cs="Times New Roman"/>
          <w:color w:val="0D0D0D"/>
          <w:sz w:val="24"/>
          <w:szCs w:val="24"/>
        </w:rPr>
        <w:t xml:space="preserve"> Normal P-P Plot</w:t>
      </w:r>
    </w:p>
    <w:p w14:paraId="3205407D" w14:textId="77777777" w:rsidR="00D50479" w:rsidRPr="004524A3" w:rsidRDefault="00D50479" w:rsidP="00AD148D">
      <w:pPr>
        <w:spacing w:after="240" w:line="276" w:lineRule="auto"/>
        <w:jc w:val="both"/>
        <w:rPr>
          <w:rFonts w:ascii="Calibri" w:eastAsia="Calibri" w:hAnsi="Calibri" w:cs="Times New Roman"/>
          <w:color w:val="0D0D0D"/>
        </w:rPr>
      </w:pPr>
    </w:p>
    <w:p w14:paraId="0E87B841" w14:textId="77777777" w:rsidR="00D50479" w:rsidRPr="004524A3" w:rsidRDefault="00D50479" w:rsidP="00AD148D">
      <w:pPr>
        <w:spacing w:after="0" w:line="276" w:lineRule="auto"/>
        <w:jc w:val="both"/>
        <w:rPr>
          <w:rFonts w:ascii="Times New Roman" w:eastAsia="Times New Roman" w:hAnsi="Times New Roman" w:cs="Times New Roman"/>
          <w:b/>
          <w:color w:val="0D0D0D"/>
          <w:sz w:val="24"/>
          <w:szCs w:val="24"/>
        </w:rPr>
      </w:pPr>
      <w:r w:rsidRPr="004524A3">
        <w:rPr>
          <w:rFonts w:ascii="Times New Roman" w:eastAsia="Times New Roman" w:hAnsi="Times New Roman" w:cs="Times New Roman"/>
          <w:b/>
          <w:color w:val="0D0D0D"/>
          <w:sz w:val="24"/>
          <w:szCs w:val="24"/>
        </w:rPr>
        <w:t>Results of Students’ Multiple Regression Analysis</w:t>
      </w:r>
    </w:p>
    <w:p w14:paraId="07B45BFA" w14:textId="10F1A4D9" w:rsidR="00D50479" w:rsidRDefault="00A6056E"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Table 2</w:t>
      </w:r>
      <w:r w:rsidR="00D50479" w:rsidRPr="004524A3">
        <w:rPr>
          <w:rFonts w:ascii="Times New Roman" w:eastAsia="Calibri" w:hAnsi="Times New Roman" w:cs="Times New Roman"/>
          <w:color w:val="0D0D0D"/>
          <w:sz w:val="24"/>
          <w:szCs w:val="24"/>
        </w:rPr>
        <w:t xml:space="preserve"> presents descriptive statistics for the variables included in the multiple regression analysis, providing a snapshot of the data. The mean and standard deviation for each variable, including final score, age, gender, prior knowledge, personal characteristics, and preference, were displayed. These statistics offer initial insights into the data's central tendency and variability.</w:t>
      </w:r>
    </w:p>
    <w:p w14:paraId="214DCE42" w14:textId="40EE8102"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18D80B10" w14:textId="332D166B"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63C1C3C9" w14:textId="1B80E9B6"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3B92AFFA" w14:textId="0575E0E4"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164140DB" w14:textId="6061C39C"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219A1E67" w14:textId="308D0A05"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2DC628ED" w14:textId="261CCE09"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3A19031D" w14:textId="6C995330"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5119489B" w14:textId="77777777" w:rsidR="00DD4DB7" w:rsidRDefault="00DD4DB7"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1AD392F5" w14:textId="77777777" w:rsidR="00F04BB4" w:rsidRPr="004524A3" w:rsidRDefault="00F04BB4"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2D392870" w14:textId="663689F1" w:rsidR="00D50479" w:rsidRPr="004524A3" w:rsidRDefault="00A6056E"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lastRenderedPageBreak/>
        <w:t>Table 2</w:t>
      </w:r>
      <w:r w:rsidR="00D50479" w:rsidRPr="004524A3">
        <w:rPr>
          <w:rFonts w:ascii="Times New Roman" w:eastAsia="Calibri" w:hAnsi="Times New Roman" w:cs="Times New Roman"/>
          <w:color w:val="0D0D0D"/>
          <w:sz w:val="24"/>
          <w:szCs w:val="24"/>
        </w:rPr>
        <w:t xml:space="preserve">: Descriptive Statistics </w:t>
      </w:r>
      <w:r w:rsidR="00B76EED">
        <w:rPr>
          <w:rFonts w:ascii="Times New Roman" w:eastAsia="Calibri" w:hAnsi="Times New Roman" w:cs="Times New Roman"/>
          <w:color w:val="0D0D0D"/>
          <w:sz w:val="24"/>
          <w:szCs w:val="24"/>
        </w:rPr>
        <w:t xml:space="preserve">of </w:t>
      </w:r>
      <w:r w:rsidR="00D50479" w:rsidRPr="004524A3">
        <w:rPr>
          <w:rFonts w:ascii="Times New Roman" w:eastAsia="Times New Roman" w:hAnsi="Times New Roman" w:cs="Times New Roman"/>
          <w:color w:val="0D0D0D"/>
          <w:sz w:val="24"/>
          <w:szCs w:val="24"/>
        </w:rPr>
        <w:t>Students’ Test Scores</w:t>
      </w:r>
    </w:p>
    <w:tbl>
      <w:tblPr>
        <w:tblStyle w:val="PlainTable31"/>
        <w:tblW w:w="9160" w:type="dxa"/>
        <w:tblBorders>
          <w:top w:val="single" w:sz="12" w:space="0" w:color="auto"/>
          <w:bottom w:val="single" w:sz="12" w:space="0" w:color="auto"/>
        </w:tblBorders>
        <w:shd w:val="clear" w:color="auto" w:fill="FFFFFF"/>
        <w:tblLayout w:type="fixed"/>
        <w:tblLook w:val="0000" w:firstRow="0" w:lastRow="0" w:firstColumn="0" w:lastColumn="0" w:noHBand="0" w:noVBand="0"/>
      </w:tblPr>
      <w:tblGrid>
        <w:gridCol w:w="3664"/>
        <w:gridCol w:w="1615"/>
        <w:gridCol w:w="2266"/>
        <w:gridCol w:w="1615"/>
      </w:tblGrid>
      <w:tr w:rsidR="00D50479" w:rsidRPr="004524A3" w14:paraId="5D31026A" w14:textId="77777777" w:rsidTr="00EA47CC">
        <w:trPr>
          <w:cnfStyle w:val="000000100000" w:firstRow="0" w:lastRow="0" w:firstColumn="0" w:lastColumn="0" w:oddVBand="0" w:evenVBand="0" w:oddHBand="1" w:evenHBand="0" w:firstRowFirstColumn="0" w:firstRowLastColumn="0" w:lastRowFirstColumn="0" w:lastRowLastColumn="0"/>
          <w:trHeight w:val="829"/>
        </w:trPr>
        <w:tc>
          <w:tcPr>
            <w:cnfStyle w:val="000010000000" w:firstRow="0" w:lastRow="0" w:firstColumn="0" w:lastColumn="0" w:oddVBand="1" w:evenVBand="0" w:oddHBand="0" w:evenHBand="0" w:firstRowFirstColumn="0" w:firstRowLastColumn="0" w:lastRowFirstColumn="0" w:lastRowLastColumn="0"/>
            <w:tcW w:w="3664" w:type="dxa"/>
            <w:tcBorders>
              <w:top w:val="single" w:sz="12" w:space="0" w:color="auto"/>
              <w:bottom w:val="single" w:sz="12" w:space="0" w:color="auto"/>
            </w:tcBorders>
            <w:shd w:val="clear" w:color="auto" w:fill="FFFFFF"/>
          </w:tcPr>
          <w:p w14:paraId="04D12762" w14:textId="77777777" w:rsidR="00D50479" w:rsidRPr="004524A3" w:rsidRDefault="00D50479" w:rsidP="00AD148D">
            <w:pPr>
              <w:autoSpaceDE w:val="0"/>
              <w:autoSpaceDN w:val="0"/>
              <w:adjustRightInd w:val="0"/>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Variables</w:t>
            </w:r>
          </w:p>
        </w:tc>
        <w:tc>
          <w:tcPr>
            <w:tcW w:w="1615" w:type="dxa"/>
            <w:tcBorders>
              <w:top w:val="single" w:sz="12" w:space="0" w:color="auto"/>
              <w:bottom w:val="single" w:sz="12" w:space="0" w:color="auto"/>
            </w:tcBorders>
            <w:shd w:val="clear" w:color="auto" w:fill="FFFFFF"/>
          </w:tcPr>
          <w:p w14:paraId="66E09425" w14:textId="77777777" w:rsidR="00D50479" w:rsidRPr="004524A3" w:rsidRDefault="00D50479" w:rsidP="00AD148D">
            <w:pPr>
              <w:autoSpaceDE w:val="0"/>
              <w:autoSpaceDN w:val="0"/>
              <w:adjustRightInd w:val="0"/>
              <w:spacing w:after="200" w:line="276"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Mean</w:t>
            </w:r>
          </w:p>
        </w:tc>
        <w:tc>
          <w:tcPr>
            <w:cnfStyle w:val="000010000000" w:firstRow="0" w:lastRow="0" w:firstColumn="0" w:lastColumn="0" w:oddVBand="1" w:evenVBand="0" w:oddHBand="0" w:evenHBand="0" w:firstRowFirstColumn="0" w:firstRowLastColumn="0" w:lastRowFirstColumn="0" w:lastRowLastColumn="0"/>
            <w:tcW w:w="2266" w:type="dxa"/>
            <w:tcBorders>
              <w:top w:val="single" w:sz="12" w:space="0" w:color="auto"/>
              <w:bottom w:val="single" w:sz="12" w:space="0" w:color="auto"/>
            </w:tcBorders>
            <w:shd w:val="clear" w:color="auto" w:fill="FFFFFF"/>
          </w:tcPr>
          <w:p w14:paraId="50A03C76" w14:textId="77777777" w:rsidR="00D50479" w:rsidRPr="004524A3" w:rsidRDefault="00D50479" w:rsidP="00AD148D">
            <w:pPr>
              <w:autoSpaceDE w:val="0"/>
              <w:autoSpaceDN w:val="0"/>
              <w:adjustRightInd w:val="0"/>
              <w:spacing w:after="200" w:line="276" w:lineRule="auto"/>
              <w:ind w:left="60" w:right="6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Std. Deviation</w:t>
            </w:r>
          </w:p>
        </w:tc>
        <w:tc>
          <w:tcPr>
            <w:tcW w:w="1615" w:type="dxa"/>
            <w:tcBorders>
              <w:top w:val="single" w:sz="12" w:space="0" w:color="auto"/>
              <w:bottom w:val="single" w:sz="12" w:space="0" w:color="auto"/>
            </w:tcBorders>
            <w:shd w:val="clear" w:color="auto" w:fill="FFFFFF"/>
          </w:tcPr>
          <w:p w14:paraId="2E3C5FB9" w14:textId="77777777" w:rsidR="00D50479" w:rsidRPr="004524A3" w:rsidRDefault="00D50479" w:rsidP="00AD148D">
            <w:pPr>
              <w:autoSpaceDE w:val="0"/>
              <w:autoSpaceDN w:val="0"/>
              <w:adjustRightInd w:val="0"/>
              <w:spacing w:after="200" w:line="276"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N</w:t>
            </w:r>
          </w:p>
        </w:tc>
      </w:tr>
      <w:tr w:rsidR="00D50479" w:rsidRPr="004524A3" w14:paraId="1F7DB4A1" w14:textId="77777777" w:rsidTr="00EA47CC">
        <w:trPr>
          <w:trHeight w:val="503"/>
        </w:trPr>
        <w:tc>
          <w:tcPr>
            <w:cnfStyle w:val="000010000000" w:firstRow="0" w:lastRow="0" w:firstColumn="0" w:lastColumn="0" w:oddVBand="1" w:evenVBand="0" w:oddHBand="0" w:evenHBand="0" w:firstRowFirstColumn="0" w:firstRowLastColumn="0" w:lastRowFirstColumn="0" w:lastRowLastColumn="0"/>
            <w:tcW w:w="3664" w:type="dxa"/>
            <w:tcBorders>
              <w:top w:val="single" w:sz="12" w:space="0" w:color="auto"/>
            </w:tcBorders>
            <w:shd w:val="clear" w:color="auto" w:fill="FFFFFF"/>
          </w:tcPr>
          <w:p w14:paraId="3C367DEA"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Enrolment Success</w:t>
            </w:r>
          </w:p>
        </w:tc>
        <w:tc>
          <w:tcPr>
            <w:tcW w:w="1615" w:type="dxa"/>
            <w:tcBorders>
              <w:top w:val="single" w:sz="12" w:space="0" w:color="auto"/>
            </w:tcBorders>
            <w:shd w:val="clear" w:color="auto" w:fill="FFFFFF"/>
          </w:tcPr>
          <w:p w14:paraId="118958F2" w14:textId="77777777" w:rsidR="00D50479" w:rsidRPr="004524A3" w:rsidRDefault="00D50479" w:rsidP="00AD14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4.34</w:t>
            </w:r>
          </w:p>
        </w:tc>
        <w:tc>
          <w:tcPr>
            <w:cnfStyle w:val="000010000000" w:firstRow="0" w:lastRow="0" w:firstColumn="0" w:lastColumn="0" w:oddVBand="1" w:evenVBand="0" w:oddHBand="0" w:evenHBand="0" w:firstRowFirstColumn="0" w:firstRowLastColumn="0" w:lastRowFirstColumn="0" w:lastRowLastColumn="0"/>
            <w:tcW w:w="2266" w:type="dxa"/>
            <w:tcBorders>
              <w:top w:val="single" w:sz="12" w:space="0" w:color="auto"/>
            </w:tcBorders>
            <w:shd w:val="clear" w:color="auto" w:fill="FFFFFF"/>
          </w:tcPr>
          <w:p w14:paraId="5D25F4B5"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.720</w:t>
            </w:r>
          </w:p>
        </w:tc>
        <w:tc>
          <w:tcPr>
            <w:tcW w:w="1615" w:type="dxa"/>
            <w:tcBorders>
              <w:top w:val="single" w:sz="12" w:space="0" w:color="auto"/>
            </w:tcBorders>
            <w:shd w:val="clear" w:color="auto" w:fill="FFFFFF"/>
          </w:tcPr>
          <w:p w14:paraId="1429B7D2" w14:textId="77777777" w:rsidR="00D50479" w:rsidRPr="004524A3" w:rsidRDefault="00D50479" w:rsidP="00AD14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267</w:t>
            </w:r>
          </w:p>
        </w:tc>
      </w:tr>
      <w:tr w:rsidR="00D50479" w:rsidRPr="004524A3" w14:paraId="3A45A226" w14:textId="77777777" w:rsidTr="00EA47CC">
        <w:trPr>
          <w:cnfStyle w:val="000000100000" w:firstRow="0" w:lastRow="0" w:firstColumn="0" w:lastColumn="0" w:oddVBand="0" w:evenVBand="0" w:oddHBand="1" w:evenHBand="0" w:firstRowFirstColumn="0" w:firstRowLastColumn="0" w:lastRowFirstColumn="0" w:lastRowLastColumn="0"/>
          <w:trHeight w:val="518"/>
        </w:trPr>
        <w:tc>
          <w:tcPr>
            <w:cnfStyle w:val="000010000000" w:firstRow="0" w:lastRow="0" w:firstColumn="0" w:lastColumn="0" w:oddVBand="1" w:evenVBand="0" w:oddHBand="0" w:evenHBand="0" w:firstRowFirstColumn="0" w:firstRowLastColumn="0" w:lastRowFirstColumn="0" w:lastRowLastColumn="0"/>
            <w:tcW w:w="3664" w:type="dxa"/>
            <w:shd w:val="clear" w:color="auto" w:fill="FFFFFF"/>
          </w:tcPr>
          <w:p w14:paraId="348746F3"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Feedback Clarity</w:t>
            </w:r>
          </w:p>
        </w:tc>
        <w:tc>
          <w:tcPr>
            <w:tcW w:w="1615" w:type="dxa"/>
            <w:shd w:val="clear" w:color="auto" w:fill="FFFFFF"/>
          </w:tcPr>
          <w:p w14:paraId="44B9B68A" w14:textId="77777777" w:rsidR="00D50479" w:rsidRPr="004524A3" w:rsidRDefault="00D50479" w:rsidP="00AD14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4.38</w:t>
            </w:r>
          </w:p>
        </w:tc>
        <w:tc>
          <w:tcPr>
            <w:cnfStyle w:val="000010000000" w:firstRow="0" w:lastRow="0" w:firstColumn="0" w:lastColumn="0" w:oddVBand="1" w:evenVBand="0" w:oddHBand="0" w:evenHBand="0" w:firstRowFirstColumn="0" w:firstRowLastColumn="0" w:lastRowFirstColumn="0" w:lastRowLastColumn="0"/>
            <w:tcW w:w="2266" w:type="dxa"/>
            <w:shd w:val="clear" w:color="auto" w:fill="FFFFFF"/>
          </w:tcPr>
          <w:p w14:paraId="239C92F1"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.628</w:t>
            </w:r>
          </w:p>
        </w:tc>
        <w:tc>
          <w:tcPr>
            <w:tcW w:w="1615" w:type="dxa"/>
            <w:shd w:val="clear" w:color="auto" w:fill="FFFFFF"/>
          </w:tcPr>
          <w:p w14:paraId="48BDF3FA" w14:textId="77777777" w:rsidR="00D50479" w:rsidRPr="004524A3" w:rsidRDefault="00D50479" w:rsidP="00AD14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267</w:t>
            </w:r>
          </w:p>
        </w:tc>
      </w:tr>
      <w:tr w:rsidR="00D50479" w:rsidRPr="004524A3" w14:paraId="00F40F5E" w14:textId="77777777" w:rsidTr="00EA47CC">
        <w:trPr>
          <w:trHeight w:val="378"/>
        </w:trPr>
        <w:tc>
          <w:tcPr>
            <w:cnfStyle w:val="000010000000" w:firstRow="0" w:lastRow="0" w:firstColumn="0" w:lastColumn="0" w:oddVBand="1" w:evenVBand="0" w:oddHBand="0" w:evenHBand="0" w:firstRowFirstColumn="0" w:firstRowLastColumn="0" w:lastRowFirstColumn="0" w:lastRowLastColumn="0"/>
            <w:tcW w:w="3664" w:type="dxa"/>
            <w:shd w:val="clear" w:color="auto" w:fill="FFFFFF"/>
          </w:tcPr>
          <w:p w14:paraId="1C6A6DF7"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Data Utilization</w:t>
            </w:r>
          </w:p>
        </w:tc>
        <w:tc>
          <w:tcPr>
            <w:tcW w:w="1615" w:type="dxa"/>
            <w:shd w:val="clear" w:color="auto" w:fill="FFFFFF"/>
          </w:tcPr>
          <w:p w14:paraId="3A094E42" w14:textId="77777777" w:rsidR="00D50479" w:rsidRPr="004524A3" w:rsidRDefault="00D50479" w:rsidP="00AD14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3.95</w:t>
            </w:r>
          </w:p>
        </w:tc>
        <w:tc>
          <w:tcPr>
            <w:cnfStyle w:val="000010000000" w:firstRow="0" w:lastRow="0" w:firstColumn="0" w:lastColumn="0" w:oddVBand="1" w:evenVBand="0" w:oddHBand="0" w:evenHBand="0" w:firstRowFirstColumn="0" w:firstRowLastColumn="0" w:lastRowFirstColumn="0" w:lastRowLastColumn="0"/>
            <w:tcW w:w="2266" w:type="dxa"/>
            <w:shd w:val="clear" w:color="auto" w:fill="FFFFFF"/>
          </w:tcPr>
          <w:p w14:paraId="120C164B"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1.128</w:t>
            </w:r>
          </w:p>
        </w:tc>
        <w:tc>
          <w:tcPr>
            <w:tcW w:w="1615" w:type="dxa"/>
            <w:shd w:val="clear" w:color="auto" w:fill="FFFFFF"/>
          </w:tcPr>
          <w:p w14:paraId="74BFE654" w14:textId="77777777" w:rsidR="00D50479" w:rsidRPr="004524A3" w:rsidRDefault="00D50479" w:rsidP="00AD14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267</w:t>
            </w:r>
          </w:p>
        </w:tc>
      </w:tr>
      <w:tr w:rsidR="00D50479" w:rsidRPr="004524A3" w14:paraId="4A0AC3F8" w14:textId="77777777" w:rsidTr="00EA47CC">
        <w:trPr>
          <w:cnfStyle w:val="000000100000" w:firstRow="0" w:lastRow="0" w:firstColumn="0" w:lastColumn="0" w:oddVBand="0" w:evenVBand="0" w:oddHBand="1" w:evenHBand="0" w:firstRowFirstColumn="0" w:firstRowLastColumn="0" w:lastRowFirstColumn="0" w:lastRowLastColumn="0"/>
          <w:trHeight w:val="495"/>
        </w:trPr>
        <w:tc>
          <w:tcPr>
            <w:cnfStyle w:val="000010000000" w:firstRow="0" w:lastRow="0" w:firstColumn="0" w:lastColumn="0" w:oddVBand="1" w:evenVBand="0" w:oddHBand="0" w:evenHBand="0" w:firstRowFirstColumn="0" w:firstRowLastColumn="0" w:lastRowFirstColumn="0" w:lastRowLastColumn="0"/>
            <w:tcW w:w="3664" w:type="dxa"/>
            <w:shd w:val="clear" w:color="auto" w:fill="FFFFFF"/>
          </w:tcPr>
          <w:p w14:paraId="2DFE3D86"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Decentralized Process</w:t>
            </w:r>
          </w:p>
        </w:tc>
        <w:tc>
          <w:tcPr>
            <w:tcW w:w="1615" w:type="dxa"/>
            <w:shd w:val="clear" w:color="auto" w:fill="FFFFFF"/>
          </w:tcPr>
          <w:p w14:paraId="0D8B1640" w14:textId="77777777" w:rsidR="00D50479" w:rsidRPr="004524A3" w:rsidRDefault="00D50479" w:rsidP="00AD14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3.73</w:t>
            </w:r>
          </w:p>
        </w:tc>
        <w:tc>
          <w:tcPr>
            <w:cnfStyle w:val="000010000000" w:firstRow="0" w:lastRow="0" w:firstColumn="0" w:lastColumn="0" w:oddVBand="1" w:evenVBand="0" w:oddHBand="0" w:evenHBand="0" w:firstRowFirstColumn="0" w:firstRowLastColumn="0" w:lastRowFirstColumn="0" w:lastRowLastColumn="0"/>
            <w:tcW w:w="2266" w:type="dxa"/>
            <w:shd w:val="clear" w:color="auto" w:fill="FFFFFF"/>
          </w:tcPr>
          <w:p w14:paraId="2BE148B1"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1.187</w:t>
            </w:r>
          </w:p>
        </w:tc>
        <w:tc>
          <w:tcPr>
            <w:tcW w:w="1615" w:type="dxa"/>
            <w:shd w:val="clear" w:color="auto" w:fill="FFFFFF"/>
          </w:tcPr>
          <w:p w14:paraId="7CAE694E" w14:textId="77777777" w:rsidR="00D50479" w:rsidRPr="004524A3" w:rsidRDefault="00D50479" w:rsidP="00AD14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lang w:val="en-GB"/>
              </w:rPr>
              <w:t>267</w:t>
            </w:r>
          </w:p>
        </w:tc>
      </w:tr>
      <w:tr w:rsidR="00D50479" w:rsidRPr="004524A3" w14:paraId="4448D720" w14:textId="77777777" w:rsidTr="00EA47CC">
        <w:trPr>
          <w:trHeight w:val="387"/>
        </w:trPr>
        <w:tc>
          <w:tcPr>
            <w:cnfStyle w:val="000010000000" w:firstRow="0" w:lastRow="0" w:firstColumn="0" w:lastColumn="0" w:oddVBand="1" w:evenVBand="0" w:oddHBand="0" w:evenHBand="0" w:firstRowFirstColumn="0" w:firstRowLastColumn="0" w:lastRowFirstColumn="0" w:lastRowLastColumn="0"/>
            <w:tcW w:w="3664" w:type="dxa"/>
            <w:shd w:val="clear" w:color="auto" w:fill="FFFFFF"/>
          </w:tcPr>
          <w:p w14:paraId="1A0CCF3F"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School Preference Consideration</w:t>
            </w:r>
          </w:p>
        </w:tc>
        <w:tc>
          <w:tcPr>
            <w:tcW w:w="1615" w:type="dxa"/>
            <w:shd w:val="clear" w:color="auto" w:fill="FFFFFF"/>
          </w:tcPr>
          <w:p w14:paraId="787768AB" w14:textId="77777777" w:rsidR="00D50479" w:rsidRPr="004524A3" w:rsidRDefault="00D50479" w:rsidP="00AD14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4.35</w:t>
            </w:r>
          </w:p>
        </w:tc>
        <w:tc>
          <w:tcPr>
            <w:cnfStyle w:val="000010000000" w:firstRow="0" w:lastRow="0" w:firstColumn="0" w:lastColumn="0" w:oddVBand="1" w:evenVBand="0" w:oddHBand="0" w:evenHBand="0" w:firstRowFirstColumn="0" w:firstRowLastColumn="0" w:lastRowFirstColumn="0" w:lastRowLastColumn="0"/>
            <w:tcW w:w="2266" w:type="dxa"/>
            <w:shd w:val="clear" w:color="auto" w:fill="FFFFFF"/>
          </w:tcPr>
          <w:p w14:paraId="17F75E96"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.727</w:t>
            </w:r>
          </w:p>
        </w:tc>
        <w:tc>
          <w:tcPr>
            <w:tcW w:w="1615" w:type="dxa"/>
            <w:shd w:val="clear" w:color="auto" w:fill="FFFFFF"/>
          </w:tcPr>
          <w:p w14:paraId="07F45AB7" w14:textId="77777777" w:rsidR="00D50479" w:rsidRPr="004524A3" w:rsidRDefault="00D50479" w:rsidP="00AD14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267</w:t>
            </w:r>
          </w:p>
        </w:tc>
      </w:tr>
      <w:tr w:rsidR="00D50479" w:rsidRPr="004524A3" w14:paraId="7C0C495D" w14:textId="77777777" w:rsidTr="00EA47CC">
        <w:trPr>
          <w:cnfStyle w:val="000000100000" w:firstRow="0" w:lastRow="0" w:firstColumn="0" w:lastColumn="0" w:oddVBand="0" w:evenVBand="0" w:oddHBand="1" w:evenHBand="0" w:firstRowFirstColumn="0" w:firstRowLastColumn="0" w:lastRowFirstColumn="0" w:lastRowLastColumn="0"/>
          <w:trHeight w:val="829"/>
        </w:trPr>
        <w:tc>
          <w:tcPr>
            <w:cnfStyle w:val="000010000000" w:firstRow="0" w:lastRow="0" w:firstColumn="0" w:lastColumn="0" w:oddVBand="1" w:evenVBand="0" w:oddHBand="0" w:evenHBand="0" w:firstRowFirstColumn="0" w:firstRowLastColumn="0" w:lastRowFirstColumn="0" w:lastRowLastColumn="0"/>
            <w:tcW w:w="3664" w:type="dxa"/>
            <w:shd w:val="clear" w:color="auto" w:fill="FFFFFF"/>
          </w:tcPr>
          <w:p w14:paraId="3971CCC1"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Category “A” School Denial</w:t>
            </w:r>
          </w:p>
        </w:tc>
        <w:tc>
          <w:tcPr>
            <w:tcW w:w="1615" w:type="dxa"/>
            <w:shd w:val="clear" w:color="auto" w:fill="FFFFFF"/>
          </w:tcPr>
          <w:p w14:paraId="5DC8D1B1" w14:textId="77777777" w:rsidR="00D50479" w:rsidRPr="004524A3" w:rsidRDefault="00D50479" w:rsidP="00AD14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4.17</w:t>
            </w:r>
          </w:p>
        </w:tc>
        <w:tc>
          <w:tcPr>
            <w:cnfStyle w:val="000010000000" w:firstRow="0" w:lastRow="0" w:firstColumn="0" w:lastColumn="0" w:oddVBand="1" w:evenVBand="0" w:oddHBand="0" w:evenHBand="0" w:firstRowFirstColumn="0" w:firstRowLastColumn="0" w:lastRowFirstColumn="0" w:lastRowLastColumn="0"/>
            <w:tcW w:w="2266" w:type="dxa"/>
            <w:shd w:val="clear" w:color="auto" w:fill="FFFFFF"/>
          </w:tcPr>
          <w:p w14:paraId="7C215B5F" w14:textId="77777777" w:rsidR="00D50479" w:rsidRPr="004524A3" w:rsidRDefault="00D50479" w:rsidP="00AD148D">
            <w:pPr>
              <w:autoSpaceDE w:val="0"/>
              <w:autoSpaceDN w:val="0"/>
              <w:adjustRightInd w:val="0"/>
              <w:jc w:val="both"/>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.934</w:t>
            </w:r>
          </w:p>
        </w:tc>
        <w:tc>
          <w:tcPr>
            <w:tcW w:w="1615" w:type="dxa"/>
            <w:shd w:val="clear" w:color="auto" w:fill="FFFFFF"/>
          </w:tcPr>
          <w:p w14:paraId="26BB572E" w14:textId="77777777" w:rsidR="00D50479" w:rsidRPr="004524A3" w:rsidRDefault="00D50479" w:rsidP="00AD14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267</w:t>
            </w:r>
          </w:p>
        </w:tc>
      </w:tr>
    </w:tbl>
    <w:p w14:paraId="7E6763D3" w14:textId="77777777" w:rsidR="00D50479" w:rsidRPr="004524A3" w:rsidRDefault="00D50479" w:rsidP="00AD148D">
      <w:pPr>
        <w:spacing w:after="0" w:line="276" w:lineRule="auto"/>
        <w:jc w:val="both"/>
        <w:rPr>
          <w:rFonts w:ascii="Times New Roman" w:eastAsia="Calibri" w:hAnsi="Times New Roman" w:cs="Times New Roman"/>
          <w:b/>
          <w:color w:val="0D0D0D"/>
          <w:sz w:val="24"/>
          <w:szCs w:val="24"/>
        </w:rPr>
      </w:pPr>
      <w:r w:rsidRPr="004524A3">
        <w:rPr>
          <w:rFonts w:ascii="Times New Roman" w:eastAsia="Calibri" w:hAnsi="Times New Roman" w:cs="Times New Roman"/>
          <w:b/>
          <w:color w:val="0D0D0D"/>
          <w:sz w:val="24"/>
          <w:szCs w:val="24"/>
        </w:rPr>
        <w:t>Source filed work, 2024</w:t>
      </w:r>
    </w:p>
    <w:p w14:paraId="5F6D9D59" w14:textId="7777777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color w:val="0D0D0D"/>
          <w:sz w:val="24"/>
          <w:szCs w:val="24"/>
          <w14:ligatures w14:val="standardContextual"/>
        </w:rPr>
      </w:pPr>
    </w:p>
    <w:p w14:paraId="0B3A3760" w14:textId="7777777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color w:val="0D0D0D"/>
          <w:sz w:val="24"/>
          <w:szCs w:val="24"/>
          <w14:ligatures w14:val="standardContextual"/>
        </w:rPr>
      </w:pPr>
      <w:r w:rsidRPr="004524A3">
        <w:rPr>
          <w:rFonts w:ascii="Times New Roman" w:eastAsia="Calibri" w:hAnsi="Times New Roman" w:cs="Times New Roman"/>
          <w:color w:val="0D0D0D"/>
          <w:sz w:val="24"/>
          <w:szCs w:val="24"/>
          <w14:ligatures w14:val="standardContextual"/>
        </w:rPr>
        <w:t>The descriptive statistics table shows, for example, that "Enrollment Success" has a mean of 4.34, suggesting a relatively high average rating on enrollment success, while its standard deviation of 0.772 indicates that responses are fairly close to this average. In contrast, "Data Utilization" has a mean of 4.14 but a larger standard deviation of 1.128, indicating that responses on data utilization are more spread out, with some participants likely having more varied opinions or experiences. All variables have an N of 267, meaning the analysis includes 267 observations for each. These statistics imply that while enrollment success is generally rated favorably with relatively consistent responses, data utilization shows more variability in responses, which could suggest differing levels of effectiveness or understanding in this area.</w:t>
      </w:r>
    </w:p>
    <w:p w14:paraId="536B21C2" w14:textId="7777777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color w:val="0D0D0D"/>
          <w:sz w:val="24"/>
          <w:szCs w:val="24"/>
        </w:rPr>
      </w:pPr>
    </w:p>
    <w:p w14:paraId="4FFAFF0B" w14:textId="7777777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b/>
          <w:color w:val="0D0D0D"/>
          <w:sz w:val="24"/>
          <w:szCs w:val="24"/>
        </w:rPr>
      </w:pPr>
      <w:r w:rsidRPr="004524A3">
        <w:rPr>
          <w:rFonts w:ascii="Times New Roman" w:eastAsia="Calibri" w:hAnsi="Times New Roman" w:cs="Times New Roman"/>
          <w:b/>
          <w:color w:val="0D0D0D"/>
          <w:sz w:val="24"/>
          <w:szCs w:val="24"/>
        </w:rPr>
        <w:t>Results</w:t>
      </w:r>
    </w:p>
    <w:p w14:paraId="6B173497"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 xml:space="preserve">A standard multiple regression analysis was conducted to examine the relationship between the dependent variable, enrolment success, and five independent variables: feedback clarity, data utilization, decentralized process, school preference, and consideration category "A" school denial. SPSS Regression and Explore were used to analyze the data. Assumptions of outliers, normality, linearity, and homoscedasticity of residuals were assessed and found to be acceptable. The regression model was statistically significant, </w:t>
      </w:r>
      <w:r w:rsidR="0029583A" w:rsidRPr="004524A3">
        <w:rPr>
          <w:rFonts w:ascii="Times New Roman" w:eastAsia="Calibri" w:hAnsi="Times New Roman" w:cs="Times New Roman"/>
          <w:color w:val="0D0D0D"/>
          <w:sz w:val="24"/>
          <w:szCs w:val="24"/>
        </w:rPr>
        <w:t>F (</w:t>
      </w:r>
      <w:r w:rsidRPr="004524A3">
        <w:rPr>
          <w:rFonts w:ascii="Times New Roman" w:eastAsia="Calibri" w:hAnsi="Times New Roman" w:cs="Times New Roman"/>
          <w:color w:val="0D0D0D"/>
          <w:sz w:val="24"/>
          <w:szCs w:val="24"/>
        </w:rPr>
        <w:t xml:space="preserve">5, 261) = 10.88, p &lt; .001, suggesting that the independent variables as a group were significantly related to students' final score, with R² = .172, as displayed in </w:t>
      </w:r>
      <w:r w:rsidR="0029583A" w:rsidRPr="004524A3">
        <w:rPr>
          <w:rFonts w:ascii="Times New Roman" w:eastAsia="Calibri" w:hAnsi="Times New Roman" w:cs="Times New Roman"/>
          <w:color w:val="0D0D0D"/>
          <w:sz w:val="24"/>
          <w:szCs w:val="24"/>
        </w:rPr>
        <w:t>Table 3</w:t>
      </w:r>
      <w:r w:rsidRPr="004524A3">
        <w:rPr>
          <w:rFonts w:ascii="Times New Roman" w:eastAsia="Calibri" w:hAnsi="Times New Roman" w:cs="Times New Roman"/>
          <w:color w:val="0D0D0D"/>
          <w:sz w:val="24"/>
          <w:szCs w:val="24"/>
        </w:rPr>
        <w:t xml:space="preserve">. This indicates that 17.2% of the variance in enrolment success can be explained by the predictor variables. The adjusted R² of .157 suggests that 15.7% of the variance remains after accounting for the number of predictors. Correlations between variables, unstandardized regression coefficients (B), standardized coefficients (β), partial correlation, part correlation, and part-squared are presented in </w:t>
      </w:r>
      <w:r w:rsidR="0029583A" w:rsidRPr="004524A3">
        <w:rPr>
          <w:rFonts w:ascii="Times New Roman" w:eastAsia="Calibri" w:hAnsi="Times New Roman" w:cs="Times New Roman"/>
          <w:color w:val="0D0D0D"/>
          <w:sz w:val="24"/>
          <w:szCs w:val="24"/>
        </w:rPr>
        <w:t>Table 4</w:t>
      </w:r>
    </w:p>
    <w:p w14:paraId="74497EC3"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rPr>
      </w:pPr>
    </w:p>
    <w:p w14:paraId="4290ED0F" w14:textId="5556DE7B" w:rsidR="00D50479" w:rsidRPr="004524A3" w:rsidRDefault="00D50479" w:rsidP="00AD148D">
      <w:pPr>
        <w:spacing w:after="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lastRenderedPageBreak/>
        <w:t xml:space="preserve">In the bid to examine the relative importance of the independent variables, the standardized β values were used. </w:t>
      </w:r>
      <w:r w:rsidR="0029583A" w:rsidRPr="004524A3">
        <w:rPr>
          <w:rFonts w:ascii="Times New Roman" w:eastAsia="Calibri" w:hAnsi="Times New Roman" w:cs="Times New Roman"/>
          <w:color w:val="0D0D0D"/>
          <w:sz w:val="24"/>
          <w:szCs w:val="24"/>
        </w:rPr>
        <w:t>Table 4</w:t>
      </w:r>
      <w:r w:rsidRPr="004524A3">
        <w:rPr>
          <w:rFonts w:ascii="Times New Roman" w:eastAsia="Calibri" w:hAnsi="Times New Roman" w:cs="Times New Roman"/>
          <w:color w:val="0D0D0D"/>
          <w:sz w:val="24"/>
          <w:szCs w:val="24"/>
        </w:rPr>
        <w:t xml:space="preserve"> shows the results of the multiple regression, indicating that all five predictor variables significantly influenced enrolment success at the alpha level of .05. Regarding the individual predictors, feedback clarity (β = .285, t(261) = 4.38, p &lt; .001), data utilization (β = .108, t(261) = 2.97, p = .003), decentralized process (β = .090, t(261) = 2.62, p = .009), school preference (β = .151, t(261) = 2.70, p = .007), and consideration category "A" school denial (β = .099, t(261) = 2.29, p = .023) emerged as significant positive predictors of enrolment success. This implies that higher levels of each of these variables were associated with higher final scores.</w:t>
      </w:r>
    </w:p>
    <w:p w14:paraId="4CE339C8"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rPr>
      </w:pPr>
    </w:p>
    <w:p w14:paraId="442C859F"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The analysis revealed that feedback clarity made the most significant unique contribution to the enrolment success. This was followed by school preference, data utilization, consideration category "A" school denial, and decentralized process.</w:t>
      </w:r>
    </w:p>
    <w:p w14:paraId="7B0F080A"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rPr>
      </w:pPr>
    </w:p>
    <w:p w14:paraId="0AB45B53" w14:textId="77777777" w:rsidR="00D50479" w:rsidRPr="004524A3" w:rsidRDefault="00D50479" w:rsidP="00AD148D">
      <w:pPr>
        <w:spacing w:after="0" w:line="276" w:lineRule="auto"/>
        <w:jc w:val="both"/>
        <w:rPr>
          <w:rFonts w:ascii="Calibri" w:eastAsia="Calibri" w:hAnsi="Calibri" w:cs="Times New Roman"/>
          <w:color w:val="0D0D0D"/>
        </w:rPr>
      </w:pPr>
      <w:r w:rsidRPr="004524A3">
        <w:rPr>
          <w:rFonts w:ascii="Times New Roman" w:eastAsia="Calibri" w:hAnsi="Times New Roman" w:cs="Times New Roman"/>
          <w:color w:val="0D0D0D"/>
          <w:sz w:val="24"/>
          <w:szCs w:val="24"/>
        </w:rPr>
        <w:t xml:space="preserve">The part correlation values in </w:t>
      </w:r>
      <w:r w:rsidR="0029583A" w:rsidRPr="004524A3">
        <w:rPr>
          <w:rFonts w:ascii="Times New Roman" w:eastAsia="Calibri" w:hAnsi="Times New Roman" w:cs="Times New Roman"/>
          <w:color w:val="0D0D0D"/>
          <w:sz w:val="24"/>
          <w:szCs w:val="24"/>
        </w:rPr>
        <w:t>Table 4</w:t>
      </w:r>
      <w:r w:rsidRPr="004524A3">
        <w:rPr>
          <w:rFonts w:ascii="Times New Roman" w:eastAsia="Calibri" w:hAnsi="Times New Roman" w:cs="Times New Roman"/>
          <w:color w:val="0D0D0D"/>
          <w:sz w:val="24"/>
          <w:szCs w:val="24"/>
        </w:rPr>
        <w:t xml:space="preserve"> also confirmed the unique contribution of each independent variable. These values, when squared, indicate the amount by which R² would be reduced if a predictor variable were dropped from the model. The part-squared values revealed that feedback clarity was the most important predictor of enrolment success, explaining 25% of the variance. This was followed by data utilization (16%), school preference (4.84%), consideration category "A" school denial (4%), and decentralized process (3.24%). Thus, considering both beta and part-squared values for all the predictor variables, it is evident that feedback clarity, data utilization, school preference, consideration category "A" school denial, and decentralized process were significant predictors that contributed to the enrolment success.</w:t>
      </w:r>
    </w:p>
    <w:p w14:paraId="44204403" w14:textId="77777777" w:rsidR="00D50479" w:rsidRPr="004524A3" w:rsidRDefault="00D50479" w:rsidP="00AD148D">
      <w:pPr>
        <w:spacing w:after="0" w:line="276" w:lineRule="auto"/>
        <w:jc w:val="both"/>
        <w:rPr>
          <w:rFonts w:ascii="Calibri" w:eastAsia="Calibri" w:hAnsi="Calibri" w:cs="Times New Roman"/>
          <w:color w:val="0D0D0D"/>
        </w:rPr>
      </w:pPr>
    </w:p>
    <w:p w14:paraId="24DDFE29" w14:textId="77777777" w:rsidR="00D50479" w:rsidRPr="004524A3" w:rsidRDefault="0029583A" w:rsidP="00AD148D">
      <w:pPr>
        <w:tabs>
          <w:tab w:val="left" w:pos="1209"/>
        </w:tabs>
        <w:spacing w:after="0" w:line="276" w:lineRule="auto"/>
        <w:jc w:val="both"/>
        <w:rPr>
          <w:rFonts w:ascii="Times New Roman" w:eastAsia="Times New Roman" w:hAnsi="Times New Roman" w:cs="Times New Roman"/>
          <w:b/>
          <w:color w:val="0D0D0D"/>
          <w:sz w:val="24"/>
          <w:szCs w:val="24"/>
        </w:rPr>
      </w:pPr>
      <w:r w:rsidRPr="004524A3">
        <w:rPr>
          <w:rFonts w:ascii="Times New Roman" w:eastAsia="Times New Roman" w:hAnsi="Times New Roman" w:cs="Times New Roman"/>
          <w:b/>
          <w:color w:val="0D0D0D"/>
          <w:sz w:val="24"/>
          <w:szCs w:val="24"/>
        </w:rPr>
        <w:t>Table 3</w:t>
      </w:r>
      <w:r w:rsidR="00D50479" w:rsidRPr="004524A3">
        <w:rPr>
          <w:rFonts w:ascii="Times New Roman" w:eastAsia="Times New Roman" w:hAnsi="Times New Roman" w:cs="Times New Roman"/>
          <w:b/>
          <w:color w:val="0D0D0D"/>
          <w:sz w:val="24"/>
          <w:szCs w:val="24"/>
        </w:rPr>
        <w:t>: Students’ Analysis of Variance</w:t>
      </w:r>
    </w:p>
    <w:tbl>
      <w:tblPr>
        <w:tblW w:w="0" w:type="auto"/>
        <w:tblBorders>
          <w:top w:val="single" w:sz="18" w:space="0" w:color="auto"/>
          <w:bottom w:val="single" w:sz="18" w:space="0" w:color="auto"/>
        </w:tblBorders>
        <w:shd w:val="clear" w:color="auto" w:fill="FFFFFF"/>
        <w:tblLook w:val="04A0" w:firstRow="1" w:lastRow="0" w:firstColumn="1" w:lastColumn="0" w:noHBand="0" w:noVBand="1"/>
      </w:tblPr>
      <w:tblGrid>
        <w:gridCol w:w="1297"/>
        <w:gridCol w:w="1310"/>
        <w:gridCol w:w="750"/>
        <w:gridCol w:w="1177"/>
        <w:gridCol w:w="937"/>
        <w:gridCol w:w="833"/>
        <w:gridCol w:w="788"/>
        <w:gridCol w:w="1430"/>
        <w:gridCol w:w="838"/>
      </w:tblGrid>
      <w:tr w:rsidR="00D50479" w:rsidRPr="004524A3" w14:paraId="2F74CA10" w14:textId="77777777" w:rsidTr="00FA5E6C">
        <w:tc>
          <w:tcPr>
            <w:tcW w:w="1038" w:type="dxa"/>
            <w:tcBorders>
              <w:top w:val="single" w:sz="18" w:space="0" w:color="auto"/>
              <w:bottom w:val="single" w:sz="18" w:space="0" w:color="auto"/>
              <w:right w:val="nil"/>
            </w:tcBorders>
            <w:shd w:val="clear" w:color="auto" w:fill="FFFFFF"/>
          </w:tcPr>
          <w:p w14:paraId="736C20EA"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Sources</w:t>
            </w:r>
          </w:p>
        </w:tc>
        <w:tc>
          <w:tcPr>
            <w:tcW w:w="1039" w:type="dxa"/>
            <w:tcBorders>
              <w:top w:val="single" w:sz="18" w:space="0" w:color="auto"/>
              <w:bottom w:val="single" w:sz="18" w:space="0" w:color="auto"/>
            </w:tcBorders>
            <w:shd w:val="clear" w:color="auto" w:fill="FFFFFF"/>
          </w:tcPr>
          <w:p w14:paraId="1637AFCA"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Sum of Squares</w:t>
            </w:r>
          </w:p>
        </w:tc>
        <w:tc>
          <w:tcPr>
            <w:tcW w:w="1039" w:type="dxa"/>
            <w:tcBorders>
              <w:top w:val="single" w:sz="18" w:space="0" w:color="auto"/>
              <w:bottom w:val="single" w:sz="18" w:space="0" w:color="auto"/>
            </w:tcBorders>
            <w:shd w:val="clear" w:color="auto" w:fill="FFFFFF"/>
          </w:tcPr>
          <w:p w14:paraId="715F98BE" w14:textId="77777777" w:rsidR="00D50479" w:rsidRPr="004524A3" w:rsidRDefault="00D50479" w:rsidP="00AD148D">
            <w:pPr>
              <w:spacing w:after="200" w:line="276" w:lineRule="auto"/>
              <w:jc w:val="both"/>
              <w:rPr>
                <w:rFonts w:ascii="Times New Roman" w:eastAsia="Calibri" w:hAnsi="Times New Roman" w:cs="Times New Roman"/>
                <w:bCs/>
                <w:i/>
                <w:caps/>
                <w:color w:val="0D0D0D"/>
                <w:sz w:val="24"/>
                <w:szCs w:val="24"/>
              </w:rPr>
            </w:pPr>
            <w:r w:rsidRPr="004524A3">
              <w:rPr>
                <w:rFonts w:ascii="Times New Roman" w:eastAsia="Calibri" w:hAnsi="Times New Roman" w:cs="Times New Roman"/>
                <w:bCs/>
                <w:i/>
                <w:caps/>
                <w:color w:val="0D0D0D"/>
                <w:sz w:val="24"/>
                <w:szCs w:val="24"/>
              </w:rPr>
              <w:t>Df</w:t>
            </w:r>
          </w:p>
        </w:tc>
        <w:tc>
          <w:tcPr>
            <w:tcW w:w="1039" w:type="dxa"/>
            <w:tcBorders>
              <w:top w:val="single" w:sz="18" w:space="0" w:color="auto"/>
              <w:bottom w:val="single" w:sz="18" w:space="0" w:color="auto"/>
            </w:tcBorders>
            <w:shd w:val="clear" w:color="auto" w:fill="FFFFFF"/>
          </w:tcPr>
          <w:p w14:paraId="7B73B259"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Mean Square</w:t>
            </w:r>
          </w:p>
        </w:tc>
        <w:tc>
          <w:tcPr>
            <w:tcW w:w="1039" w:type="dxa"/>
            <w:tcBorders>
              <w:top w:val="single" w:sz="18" w:space="0" w:color="auto"/>
              <w:bottom w:val="single" w:sz="18" w:space="0" w:color="auto"/>
            </w:tcBorders>
            <w:shd w:val="clear" w:color="auto" w:fill="FFFFFF"/>
          </w:tcPr>
          <w:p w14:paraId="208DEDF4" w14:textId="77777777" w:rsidR="00D50479" w:rsidRPr="004524A3" w:rsidRDefault="00D50479" w:rsidP="00AD148D">
            <w:pPr>
              <w:spacing w:after="200" w:line="276" w:lineRule="auto"/>
              <w:jc w:val="both"/>
              <w:rPr>
                <w:rFonts w:ascii="Times New Roman" w:eastAsia="Calibri" w:hAnsi="Times New Roman" w:cs="Times New Roman"/>
                <w:bCs/>
                <w:i/>
                <w:caps/>
                <w:color w:val="0D0D0D"/>
                <w:sz w:val="24"/>
                <w:szCs w:val="24"/>
              </w:rPr>
            </w:pPr>
            <w:r w:rsidRPr="004524A3">
              <w:rPr>
                <w:rFonts w:ascii="Times New Roman" w:eastAsia="Calibri" w:hAnsi="Times New Roman" w:cs="Times New Roman"/>
                <w:bCs/>
                <w:i/>
                <w:caps/>
                <w:color w:val="0D0D0D"/>
                <w:sz w:val="24"/>
                <w:szCs w:val="24"/>
              </w:rPr>
              <w:t>F</w:t>
            </w:r>
          </w:p>
        </w:tc>
        <w:tc>
          <w:tcPr>
            <w:tcW w:w="1039" w:type="dxa"/>
            <w:tcBorders>
              <w:top w:val="single" w:sz="18" w:space="0" w:color="auto"/>
              <w:bottom w:val="single" w:sz="18" w:space="0" w:color="auto"/>
            </w:tcBorders>
            <w:shd w:val="clear" w:color="auto" w:fill="FFFFFF"/>
          </w:tcPr>
          <w:p w14:paraId="7FEE7996"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R</w:t>
            </w:r>
          </w:p>
        </w:tc>
        <w:tc>
          <w:tcPr>
            <w:tcW w:w="1039" w:type="dxa"/>
            <w:tcBorders>
              <w:top w:val="single" w:sz="18" w:space="0" w:color="auto"/>
              <w:bottom w:val="single" w:sz="18" w:space="0" w:color="auto"/>
            </w:tcBorders>
            <w:shd w:val="clear" w:color="auto" w:fill="FFFFFF"/>
          </w:tcPr>
          <w:p w14:paraId="7ABB686C"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vertAlign w:val="superscript"/>
              </w:rPr>
            </w:pPr>
            <w:r w:rsidRPr="004524A3">
              <w:rPr>
                <w:rFonts w:ascii="Times New Roman" w:eastAsia="Calibri" w:hAnsi="Times New Roman" w:cs="Times New Roman"/>
                <w:bCs/>
                <w:caps/>
                <w:color w:val="0D0D0D"/>
                <w:sz w:val="24"/>
                <w:szCs w:val="24"/>
              </w:rPr>
              <w:t>R</w:t>
            </w:r>
            <w:r w:rsidRPr="004524A3">
              <w:rPr>
                <w:rFonts w:ascii="Times New Roman" w:eastAsia="Calibri" w:hAnsi="Times New Roman" w:cs="Times New Roman"/>
                <w:bCs/>
                <w:caps/>
                <w:color w:val="0D0D0D"/>
                <w:sz w:val="24"/>
                <w:szCs w:val="24"/>
                <w:vertAlign w:val="superscript"/>
              </w:rPr>
              <w:t>2</w:t>
            </w:r>
          </w:p>
        </w:tc>
        <w:tc>
          <w:tcPr>
            <w:tcW w:w="1039" w:type="dxa"/>
            <w:tcBorders>
              <w:top w:val="single" w:sz="18" w:space="0" w:color="auto"/>
              <w:bottom w:val="single" w:sz="18" w:space="0" w:color="auto"/>
            </w:tcBorders>
            <w:shd w:val="clear" w:color="auto" w:fill="FFFFFF"/>
          </w:tcPr>
          <w:p w14:paraId="02A1FE09"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Adjusted R</w:t>
            </w:r>
            <w:r w:rsidRPr="004524A3">
              <w:rPr>
                <w:rFonts w:ascii="Times New Roman" w:eastAsia="Calibri" w:hAnsi="Times New Roman" w:cs="Times New Roman"/>
                <w:bCs/>
                <w:caps/>
                <w:color w:val="0D0D0D"/>
                <w:sz w:val="24"/>
                <w:szCs w:val="24"/>
                <w:vertAlign w:val="superscript"/>
              </w:rPr>
              <w:t>2</w:t>
            </w:r>
            <w:r w:rsidRPr="004524A3">
              <w:rPr>
                <w:rFonts w:ascii="Times New Roman" w:eastAsia="Calibri" w:hAnsi="Times New Roman" w:cs="Times New Roman"/>
                <w:bCs/>
                <w:caps/>
                <w:color w:val="0D0D0D"/>
                <w:sz w:val="24"/>
                <w:szCs w:val="24"/>
              </w:rPr>
              <w:t xml:space="preserve"> </w:t>
            </w:r>
          </w:p>
        </w:tc>
        <w:tc>
          <w:tcPr>
            <w:tcW w:w="1039" w:type="dxa"/>
            <w:tcBorders>
              <w:top w:val="single" w:sz="18" w:space="0" w:color="auto"/>
              <w:bottom w:val="single" w:sz="18" w:space="0" w:color="auto"/>
            </w:tcBorders>
            <w:shd w:val="clear" w:color="auto" w:fill="FFFFFF"/>
          </w:tcPr>
          <w:p w14:paraId="1B9B4A0E" w14:textId="77777777" w:rsidR="00D50479" w:rsidRPr="004524A3" w:rsidRDefault="00D50479" w:rsidP="00AD148D">
            <w:pPr>
              <w:spacing w:after="200" w:line="276" w:lineRule="auto"/>
              <w:jc w:val="both"/>
              <w:rPr>
                <w:rFonts w:ascii="Times New Roman" w:eastAsia="Calibri" w:hAnsi="Times New Roman" w:cs="Times New Roman"/>
                <w:bCs/>
                <w:i/>
                <w:caps/>
                <w:color w:val="0D0D0D"/>
                <w:sz w:val="24"/>
                <w:szCs w:val="24"/>
              </w:rPr>
            </w:pPr>
            <w:r w:rsidRPr="004524A3">
              <w:rPr>
                <w:rFonts w:ascii="Times New Roman" w:eastAsia="Calibri" w:hAnsi="Times New Roman" w:cs="Times New Roman"/>
                <w:bCs/>
                <w:i/>
                <w:caps/>
                <w:color w:val="0D0D0D"/>
                <w:sz w:val="24"/>
                <w:szCs w:val="24"/>
              </w:rPr>
              <w:t>P</w:t>
            </w:r>
          </w:p>
        </w:tc>
      </w:tr>
      <w:tr w:rsidR="00D50479" w:rsidRPr="004524A3" w14:paraId="6130B34E" w14:textId="77777777" w:rsidTr="00FA5E6C">
        <w:tc>
          <w:tcPr>
            <w:tcW w:w="1038" w:type="dxa"/>
            <w:tcBorders>
              <w:top w:val="single" w:sz="18" w:space="0" w:color="auto"/>
              <w:bottom w:val="nil"/>
              <w:right w:val="nil"/>
            </w:tcBorders>
            <w:shd w:val="clear" w:color="auto" w:fill="FFFFFF"/>
          </w:tcPr>
          <w:p w14:paraId="2E78A387"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Model</w:t>
            </w:r>
          </w:p>
        </w:tc>
        <w:tc>
          <w:tcPr>
            <w:tcW w:w="1039" w:type="dxa"/>
            <w:tcBorders>
              <w:top w:val="single" w:sz="18" w:space="0" w:color="auto"/>
              <w:left w:val="nil"/>
              <w:bottom w:val="nil"/>
              <w:right w:val="nil"/>
            </w:tcBorders>
            <w:shd w:val="clear" w:color="auto" w:fill="FFFFFF"/>
          </w:tcPr>
          <w:p w14:paraId="6526321B"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23.802</w:t>
            </w:r>
          </w:p>
        </w:tc>
        <w:tc>
          <w:tcPr>
            <w:tcW w:w="1039" w:type="dxa"/>
            <w:tcBorders>
              <w:top w:val="single" w:sz="18" w:space="0" w:color="auto"/>
              <w:left w:val="nil"/>
              <w:bottom w:val="nil"/>
              <w:right w:val="nil"/>
            </w:tcBorders>
            <w:shd w:val="clear" w:color="auto" w:fill="FFFFFF"/>
          </w:tcPr>
          <w:p w14:paraId="055D1B44"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5</w:t>
            </w:r>
          </w:p>
        </w:tc>
        <w:tc>
          <w:tcPr>
            <w:tcW w:w="1039" w:type="dxa"/>
            <w:tcBorders>
              <w:top w:val="single" w:sz="18" w:space="0" w:color="auto"/>
              <w:left w:val="nil"/>
              <w:bottom w:val="nil"/>
              <w:right w:val="nil"/>
            </w:tcBorders>
            <w:shd w:val="clear" w:color="auto" w:fill="FFFFFF"/>
          </w:tcPr>
          <w:p w14:paraId="5FEBB0EE"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4.760</w:t>
            </w:r>
          </w:p>
        </w:tc>
        <w:tc>
          <w:tcPr>
            <w:tcW w:w="1039" w:type="dxa"/>
            <w:tcBorders>
              <w:top w:val="single" w:sz="18" w:space="0" w:color="auto"/>
              <w:left w:val="nil"/>
              <w:bottom w:val="nil"/>
              <w:right w:val="nil"/>
            </w:tcBorders>
            <w:shd w:val="clear" w:color="auto" w:fill="FFFFFF"/>
          </w:tcPr>
          <w:p w14:paraId="6FEF8143"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10.881</w:t>
            </w:r>
          </w:p>
        </w:tc>
        <w:tc>
          <w:tcPr>
            <w:tcW w:w="1039" w:type="dxa"/>
            <w:tcBorders>
              <w:top w:val="single" w:sz="18" w:space="0" w:color="auto"/>
              <w:left w:val="nil"/>
              <w:bottom w:val="nil"/>
              <w:right w:val="nil"/>
            </w:tcBorders>
            <w:shd w:val="clear" w:color="auto" w:fill="FFFFFF"/>
          </w:tcPr>
          <w:p w14:paraId="523EC945"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vertAlign w:val="superscript"/>
              </w:rPr>
            </w:pPr>
            <w:r w:rsidRPr="004524A3">
              <w:rPr>
                <w:rFonts w:ascii="Times New Roman" w:eastAsia="Calibri" w:hAnsi="Times New Roman" w:cs="Times New Roman"/>
                <w:color w:val="0D0D0D"/>
                <w:sz w:val="24"/>
                <w:szCs w:val="24"/>
              </w:rPr>
              <w:t>.415</w:t>
            </w:r>
            <w:r w:rsidRPr="004524A3">
              <w:rPr>
                <w:rFonts w:ascii="Times New Roman" w:eastAsia="Calibri" w:hAnsi="Times New Roman" w:cs="Times New Roman"/>
                <w:color w:val="0D0D0D"/>
                <w:sz w:val="24"/>
                <w:szCs w:val="24"/>
                <w:vertAlign w:val="superscript"/>
              </w:rPr>
              <w:t>a</w:t>
            </w:r>
          </w:p>
        </w:tc>
        <w:tc>
          <w:tcPr>
            <w:tcW w:w="1039" w:type="dxa"/>
            <w:tcBorders>
              <w:top w:val="single" w:sz="18" w:space="0" w:color="auto"/>
              <w:left w:val="nil"/>
              <w:bottom w:val="nil"/>
              <w:right w:val="nil"/>
            </w:tcBorders>
            <w:shd w:val="clear" w:color="auto" w:fill="FFFFFF"/>
          </w:tcPr>
          <w:p w14:paraId="4DBC457D"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.172</w:t>
            </w:r>
          </w:p>
        </w:tc>
        <w:tc>
          <w:tcPr>
            <w:tcW w:w="1039" w:type="dxa"/>
            <w:tcBorders>
              <w:top w:val="single" w:sz="18" w:space="0" w:color="auto"/>
              <w:left w:val="nil"/>
              <w:bottom w:val="nil"/>
              <w:right w:val="nil"/>
            </w:tcBorders>
            <w:shd w:val="clear" w:color="auto" w:fill="FFFFFF"/>
          </w:tcPr>
          <w:p w14:paraId="4AC2BC0E"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.157</w:t>
            </w:r>
          </w:p>
        </w:tc>
        <w:tc>
          <w:tcPr>
            <w:tcW w:w="1039" w:type="dxa"/>
            <w:tcBorders>
              <w:top w:val="single" w:sz="18" w:space="0" w:color="auto"/>
              <w:left w:val="nil"/>
              <w:bottom w:val="nil"/>
            </w:tcBorders>
            <w:shd w:val="clear" w:color="auto" w:fill="FFFFFF"/>
          </w:tcPr>
          <w:p w14:paraId="2BB5314A"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vertAlign w:val="superscript"/>
              </w:rPr>
            </w:pPr>
            <w:r w:rsidRPr="004524A3">
              <w:rPr>
                <w:rFonts w:ascii="Times New Roman" w:eastAsia="Calibri" w:hAnsi="Times New Roman" w:cs="Times New Roman"/>
                <w:color w:val="0D0D0D"/>
                <w:sz w:val="24"/>
                <w:szCs w:val="24"/>
              </w:rPr>
              <w:t>.000</w:t>
            </w:r>
            <w:r w:rsidRPr="004524A3">
              <w:rPr>
                <w:rFonts w:ascii="Times New Roman" w:eastAsia="Calibri" w:hAnsi="Times New Roman" w:cs="Times New Roman"/>
                <w:color w:val="0D0D0D"/>
                <w:sz w:val="24"/>
                <w:szCs w:val="24"/>
                <w:vertAlign w:val="superscript"/>
              </w:rPr>
              <w:t>b</w:t>
            </w:r>
          </w:p>
        </w:tc>
      </w:tr>
      <w:tr w:rsidR="00D50479" w:rsidRPr="004524A3" w14:paraId="14C32305" w14:textId="77777777" w:rsidTr="00FA5E6C">
        <w:tc>
          <w:tcPr>
            <w:tcW w:w="1038" w:type="dxa"/>
            <w:tcBorders>
              <w:top w:val="nil"/>
              <w:bottom w:val="nil"/>
              <w:right w:val="nil"/>
            </w:tcBorders>
            <w:shd w:val="clear" w:color="auto" w:fill="FFFFFF"/>
          </w:tcPr>
          <w:p w14:paraId="245BA5DB"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Error</w:t>
            </w:r>
          </w:p>
        </w:tc>
        <w:tc>
          <w:tcPr>
            <w:tcW w:w="1039" w:type="dxa"/>
            <w:tcBorders>
              <w:top w:val="nil"/>
              <w:left w:val="nil"/>
              <w:bottom w:val="nil"/>
              <w:right w:val="nil"/>
            </w:tcBorders>
            <w:shd w:val="clear" w:color="auto" w:fill="FFFFFF"/>
          </w:tcPr>
          <w:p w14:paraId="6AF69953"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114.183</w:t>
            </w:r>
          </w:p>
        </w:tc>
        <w:tc>
          <w:tcPr>
            <w:tcW w:w="1039" w:type="dxa"/>
            <w:tcBorders>
              <w:top w:val="nil"/>
              <w:left w:val="nil"/>
              <w:bottom w:val="nil"/>
              <w:right w:val="nil"/>
            </w:tcBorders>
            <w:shd w:val="clear" w:color="auto" w:fill="FFFFFF"/>
          </w:tcPr>
          <w:p w14:paraId="1164EC08"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261</w:t>
            </w:r>
          </w:p>
        </w:tc>
        <w:tc>
          <w:tcPr>
            <w:tcW w:w="1039" w:type="dxa"/>
            <w:tcBorders>
              <w:top w:val="nil"/>
              <w:left w:val="nil"/>
              <w:bottom w:val="nil"/>
              <w:right w:val="nil"/>
            </w:tcBorders>
            <w:shd w:val="clear" w:color="auto" w:fill="FFFFFF"/>
          </w:tcPr>
          <w:p w14:paraId="67BFB184"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.437</w:t>
            </w:r>
          </w:p>
        </w:tc>
        <w:tc>
          <w:tcPr>
            <w:tcW w:w="1039" w:type="dxa"/>
            <w:tcBorders>
              <w:top w:val="nil"/>
              <w:left w:val="nil"/>
              <w:bottom w:val="nil"/>
              <w:right w:val="nil"/>
            </w:tcBorders>
            <w:shd w:val="clear" w:color="auto" w:fill="FFFFFF"/>
          </w:tcPr>
          <w:p w14:paraId="400A0126"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nil"/>
              <w:right w:val="nil"/>
            </w:tcBorders>
            <w:shd w:val="clear" w:color="auto" w:fill="FFFFFF"/>
          </w:tcPr>
          <w:p w14:paraId="5ADAF3BB"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nil"/>
              <w:right w:val="nil"/>
            </w:tcBorders>
            <w:shd w:val="clear" w:color="auto" w:fill="FFFFFF"/>
          </w:tcPr>
          <w:p w14:paraId="1CC5407A"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nil"/>
              <w:right w:val="nil"/>
            </w:tcBorders>
            <w:shd w:val="clear" w:color="auto" w:fill="FFFFFF"/>
          </w:tcPr>
          <w:p w14:paraId="56473F3E"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nil"/>
            </w:tcBorders>
            <w:shd w:val="clear" w:color="auto" w:fill="FFFFFF"/>
          </w:tcPr>
          <w:p w14:paraId="06520CD6"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r>
      <w:tr w:rsidR="00D50479" w:rsidRPr="004524A3" w14:paraId="03324215" w14:textId="77777777" w:rsidTr="00FA5E6C">
        <w:tc>
          <w:tcPr>
            <w:tcW w:w="1038" w:type="dxa"/>
            <w:tcBorders>
              <w:top w:val="nil"/>
              <w:bottom w:val="single" w:sz="18" w:space="0" w:color="auto"/>
              <w:right w:val="nil"/>
            </w:tcBorders>
            <w:shd w:val="clear" w:color="auto" w:fill="FFFFFF"/>
          </w:tcPr>
          <w:p w14:paraId="1D232FEA" w14:textId="77777777" w:rsidR="00D50479" w:rsidRPr="004524A3" w:rsidRDefault="00D50479" w:rsidP="00AD148D">
            <w:pPr>
              <w:spacing w:after="200" w:line="276" w:lineRule="auto"/>
              <w:jc w:val="both"/>
              <w:rPr>
                <w:rFonts w:ascii="Times New Roman" w:eastAsia="Calibri" w:hAnsi="Times New Roman" w:cs="Times New Roman"/>
                <w:bCs/>
                <w:caps/>
                <w:color w:val="0D0D0D"/>
                <w:sz w:val="24"/>
                <w:szCs w:val="24"/>
              </w:rPr>
            </w:pPr>
            <w:r w:rsidRPr="004524A3">
              <w:rPr>
                <w:rFonts w:ascii="Times New Roman" w:eastAsia="Calibri" w:hAnsi="Times New Roman" w:cs="Times New Roman"/>
                <w:bCs/>
                <w:caps/>
                <w:color w:val="0D0D0D"/>
                <w:sz w:val="24"/>
                <w:szCs w:val="24"/>
              </w:rPr>
              <w:t>Total</w:t>
            </w:r>
          </w:p>
        </w:tc>
        <w:tc>
          <w:tcPr>
            <w:tcW w:w="1039" w:type="dxa"/>
            <w:tcBorders>
              <w:top w:val="nil"/>
              <w:left w:val="nil"/>
              <w:bottom w:val="single" w:sz="18" w:space="0" w:color="auto"/>
              <w:right w:val="nil"/>
            </w:tcBorders>
            <w:shd w:val="clear" w:color="auto" w:fill="FFFFFF"/>
          </w:tcPr>
          <w:p w14:paraId="69F1E737"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137.985</w:t>
            </w:r>
          </w:p>
        </w:tc>
        <w:tc>
          <w:tcPr>
            <w:tcW w:w="1039" w:type="dxa"/>
            <w:tcBorders>
              <w:top w:val="nil"/>
              <w:left w:val="nil"/>
              <w:bottom w:val="single" w:sz="18" w:space="0" w:color="auto"/>
              <w:right w:val="nil"/>
            </w:tcBorders>
            <w:shd w:val="clear" w:color="auto" w:fill="FFFFFF"/>
          </w:tcPr>
          <w:p w14:paraId="00402691"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266</w:t>
            </w:r>
          </w:p>
        </w:tc>
        <w:tc>
          <w:tcPr>
            <w:tcW w:w="1039" w:type="dxa"/>
            <w:tcBorders>
              <w:top w:val="nil"/>
              <w:left w:val="nil"/>
              <w:bottom w:val="single" w:sz="18" w:space="0" w:color="auto"/>
              <w:right w:val="nil"/>
            </w:tcBorders>
            <w:shd w:val="clear" w:color="auto" w:fill="FFFFFF"/>
          </w:tcPr>
          <w:p w14:paraId="38142646"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single" w:sz="18" w:space="0" w:color="auto"/>
              <w:right w:val="nil"/>
            </w:tcBorders>
            <w:shd w:val="clear" w:color="auto" w:fill="FFFFFF"/>
          </w:tcPr>
          <w:p w14:paraId="780D1B9A"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single" w:sz="18" w:space="0" w:color="auto"/>
              <w:right w:val="nil"/>
            </w:tcBorders>
            <w:shd w:val="clear" w:color="auto" w:fill="FFFFFF"/>
          </w:tcPr>
          <w:p w14:paraId="29E8D8CF"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single" w:sz="18" w:space="0" w:color="auto"/>
              <w:right w:val="nil"/>
            </w:tcBorders>
            <w:shd w:val="clear" w:color="auto" w:fill="FFFFFF"/>
          </w:tcPr>
          <w:p w14:paraId="64D24C66"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single" w:sz="18" w:space="0" w:color="auto"/>
              <w:right w:val="nil"/>
            </w:tcBorders>
            <w:shd w:val="clear" w:color="auto" w:fill="FFFFFF"/>
          </w:tcPr>
          <w:p w14:paraId="72C9BEAB"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c>
          <w:tcPr>
            <w:tcW w:w="1039" w:type="dxa"/>
            <w:tcBorders>
              <w:top w:val="nil"/>
              <w:left w:val="nil"/>
              <w:bottom w:val="single" w:sz="18" w:space="0" w:color="auto"/>
            </w:tcBorders>
            <w:shd w:val="clear" w:color="auto" w:fill="FFFFFF"/>
          </w:tcPr>
          <w:p w14:paraId="40A48940" w14:textId="77777777" w:rsidR="00D50479" w:rsidRPr="004524A3" w:rsidRDefault="00D50479" w:rsidP="00AD148D">
            <w:pPr>
              <w:spacing w:after="200" w:line="276" w:lineRule="auto"/>
              <w:jc w:val="both"/>
              <w:rPr>
                <w:rFonts w:ascii="Times New Roman" w:eastAsia="Calibri" w:hAnsi="Times New Roman" w:cs="Times New Roman"/>
                <w:color w:val="0D0D0D"/>
                <w:sz w:val="24"/>
                <w:szCs w:val="24"/>
              </w:rPr>
            </w:pPr>
          </w:p>
        </w:tc>
      </w:tr>
    </w:tbl>
    <w:p w14:paraId="3A1DCD56"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P&lt;.05</w:t>
      </w:r>
    </w:p>
    <w:p w14:paraId="245B2E71" w14:textId="77777777" w:rsidR="00D50479" w:rsidRPr="004524A3" w:rsidRDefault="00D50479" w:rsidP="00AD148D">
      <w:pPr>
        <w:spacing w:after="0" w:line="276" w:lineRule="auto"/>
        <w:jc w:val="both"/>
        <w:rPr>
          <w:rFonts w:ascii="Times New Roman" w:eastAsia="Calibri" w:hAnsi="Times New Roman" w:cs="Times New Roman"/>
          <w:b/>
          <w:color w:val="0D0D0D"/>
          <w:sz w:val="24"/>
          <w:szCs w:val="24"/>
        </w:rPr>
      </w:pPr>
      <w:r w:rsidRPr="004524A3">
        <w:rPr>
          <w:rFonts w:ascii="Times New Roman" w:eastAsia="Calibri" w:hAnsi="Times New Roman" w:cs="Times New Roman"/>
          <w:b/>
          <w:color w:val="0D0D0D"/>
          <w:sz w:val="24"/>
          <w:szCs w:val="24"/>
        </w:rPr>
        <w:t>Source filed work, 2024</w:t>
      </w:r>
    </w:p>
    <w:p w14:paraId="5911797E" w14:textId="77777777" w:rsidR="00D50479" w:rsidRPr="004524A3" w:rsidRDefault="00D50479" w:rsidP="00AD148D">
      <w:pPr>
        <w:spacing w:after="0" w:line="276" w:lineRule="auto"/>
        <w:jc w:val="both"/>
        <w:rPr>
          <w:rFonts w:ascii="Times New Roman" w:eastAsia="Calibri" w:hAnsi="Times New Roman" w:cs="Times New Roman"/>
          <w:b/>
          <w:color w:val="0D0D0D"/>
          <w:sz w:val="24"/>
          <w:szCs w:val="24"/>
        </w:rPr>
      </w:pPr>
    </w:p>
    <w:p w14:paraId="0E6ECBD1" w14:textId="77777777" w:rsidR="00D50479" w:rsidRPr="004524A3" w:rsidRDefault="0029583A" w:rsidP="00AD148D">
      <w:pPr>
        <w:tabs>
          <w:tab w:val="left" w:pos="1209"/>
        </w:tabs>
        <w:spacing w:after="0" w:line="276" w:lineRule="auto"/>
        <w:jc w:val="both"/>
        <w:rPr>
          <w:rFonts w:ascii="Times New Roman" w:eastAsia="Times New Roman" w:hAnsi="Times New Roman" w:cs="Times New Roman"/>
          <w:b/>
          <w:color w:val="0D0D0D"/>
          <w:sz w:val="24"/>
          <w:szCs w:val="24"/>
          <w:lang w:val="en-GB"/>
        </w:rPr>
      </w:pPr>
      <w:r w:rsidRPr="004524A3">
        <w:rPr>
          <w:rFonts w:ascii="Times New Roman" w:eastAsia="Times New Roman" w:hAnsi="Times New Roman" w:cs="Times New Roman"/>
          <w:b/>
          <w:color w:val="0D0D0D"/>
          <w:sz w:val="24"/>
          <w:szCs w:val="24"/>
          <w:lang w:val="en-GB"/>
        </w:rPr>
        <w:t>Table 4</w:t>
      </w:r>
      <w:r w:rsidR="00D50479" w:rsidRPr="004524A3">
        <w:rPr>
          <w:rFonts w:ascii="Times New Roman" w:eastAsia="Times New Roman" w:hAnsi="Times New Roman" w:cs="Times New Roman"/>
          <w:b/>
          <w:color w:val="0D0D0D"/>
          <w:sz w:val="24"/>
          <w:szCs w:val="24"/>
          <w:lang w:val="en-GB"/>
        </w:rPr>
        <w:t>: Students’ Multiple Regression on dependent variable (Final score)</w:t>
      </w:r>
    </w:p>
    <w:tbl>
      <w:tblPr>
        <w:tblStyle w:val="PlainTable41"/>
        <w:tblW w:w="11340" w:type="dxa"/>
        <w:tblInd w:w="-720" w:type="dxa"/>
        <w:tblBorders>
          <w:top w:val="single" w:sz="12" w:space="0" w:color="auto"/>
        </w:tblBorders>
        <w:shd w:val="clear" w:color="auto" w:fill="FFFFFF"/>
        <w:tblLayout w:type="fixed"/>
        <w:tblLook w:val="04A0" w:firstRow="1" w:lastRow="0" w:firstColumn="1" w:lastColumn="0" w:noHBand="0" w:noVBand="1"/>
      </w:tblPr>
      <w:tblGrid>
        <w:gridCol w:w="2148"/>
        <w:gridCol w:w="732"/>
        <w:gridCol w:w="720"/>
        <w:gridCol w:w="720"/>
        <w:gridCol w:w="1080"/>
        <w:gridCol w:w="1980"/>
        <w:gridCol w:w="1980"/>
        <w:gridCol w:w="1980"/>
      </w:tblGrid>
      <w:tr w:rsidR="00D50479" w:rsidRPr="004524A3" w14:paraId="507E0A1D" w14:textId="77777777" w:rsidTr="00D504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tcBorders>
              <w:top w:val="single" w:sz="12" w:space="0" w:color="auto"/>
              <w:bottom w:val="single" w:sz="12" w:space="0" w:color="auto"/>
            </w:tcBorders>
            <w:shd w:val="clear" w:color="auto" w:fill="FFFFFF"/>
          </w:tcPr>
          <w:p w14:paraId="4B8DB9C3" w14:textId="77777777" w:rsidR="00D50479" w:rsidRPr="00FA5648" w:rsidRDefault="00D50479" w:rsidP="00AD148D">
            <w:pPr>
              <w:spacing w:line="276" w:lineRule="auto"/>
              <w:jc w:val="both"/>
              <w:rPr>
                <w:rFonts w:ascii="Times New Roman" w:eastAsia="Calibri" w:hAnsi="Times New Roman" w:cs="Times New Roman"/>
                <w:b w:val="0"/>
                <w:bCs w:val="0"/>
                <w:caps/>
                <w:color w:val="0D0D0D"/>
                <w:lang w:val="en-GB"/>
              </w:rPr>
            </w:pPr>
            <w:r w:rsidRPr="00FA5648">
              <w:rPr>
                <w:rFonts w:ascii="Times New Roman" w:eastAsia="Calibri" w:hAnsi="Times New Roman" w:cs="Times New Roman"/>
                <w:b w:val="0"/>
                <w:bCs w:val="0"/>
                <w:caps/>
                <w:color w:val="0D0D0D"/>
                <w:lang w:val="en-GB"/>
              </w:rPr>
              <w:t>Variable</w:t>
            </w:r>
          </w:p>
        </w:tc>
        <w:tc>
          <w:tcPr>
            <w:tcW w:w="732" w:type="dxa"/>
            <w:tcBorders>
              <w:top w:val="single" w:sz="12" w:space="0" w:color="auto"/>
              <w:bottom w:val="single" w:sz="12" w:space="0" w:color="auto"/>
            </w:tcBorders>
            <w:shd w:val="clear" w:color="auto" w:fill="FFFFFF"/>
          </w:tcPr>
          <w:p w14:paraId="171C4775"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i/>
                <w:caps/>
                <w:color w:val="0D0D0D"/>
                <w:lang w:val="en-GB"/>
              </w:rPr>
            </w:pPr>
            <w:r w:rsidRPr="00FA5648">
              <w:rPr>
                <w:rFonts w:ascii="Times New Roman" w:eastAsia="Calibri" w:hAnsi="Times New Roman" w:cs="Times New Roman"/>
                <w:b w:val="0"/>
                <w:bCs w:val="0"/>
                <w:i/>
                <w:caps/>
                <w:color w:val="0D0D0D"/>
                <w:lang w:val="en-GB"/>
              </w:rPr>
              <w:t>B</w:t>
            </w:r>
          </w:p>
        </w:tc>
        <w:tc>
          <w:tcPr>
            <w:tcW w:w="720" w:type="dxa"/>
            <w:tcBorders>
              <w:top w:val="single" w:sz="12" w:space="0" w:color="auto"/>
              <w:bottom w:val="single" w:sz="12" w:space="0" w:color="auto"/>
            </w:tcBorders>
            <w:shd w:val="clear" w:color="auto" w:fill="FFFFFF"/>
          </w:tcPr>
          <w:p w14:paraId="32EE1046"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aps/>
                <w:color w:val="0D0D0D"/>
                <w:lang w:val="en-GB"/>
              </w:rPr>
            </w:pPr>
            <w:r w:rsidRPr="00FA5648">
              <w:rPr>
                <w:rFonts w:ascii="Times New Roman" w:eastAsia="Calibri" w:hAnsi="Times New Roman" w:cs="Times New Roman"/>
                <w:b w:val="0"/>
                <w:bCs w:val="0"/>
                <w:caps/>
                <w:color w:val="0D0D0D"/>
                <w:lang w:val="en-GB"/>
              </w:rPr>
              <w:t>Β</w:t>
            </w:r>
          </w:p>
        </w:tc>
        <w:tc>
          <w:tcPr>
            <w:tcW w:w="720" w:type="dxa"/>
            <w:tcBorders>
              <w:top w:val="single" w:sz="12" w:space="0" w:color="auto"/>
              <w:bottom w:val="single" w:sz="12" w:space="0" w:color="auto"/>
            </w:tcBorders>
            <w:shd w:val="clear" w:color="auto" w:fill="FFFFFF"/>
          </w:tcPr>
          <w:p w14:paraId="71F30CD1"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aps/>
                <w:color w:val="0D0D0D"/>
                <w:lang w:val="en-GB"/>
              </w:rPr>
            </w:pPr>
            <w:r w:rsidRPr="00FA5648">
              <w:rPr>
                <w:rFonts w:ascii="Times New Roman" w:eastAsia="Calibri" w:hAnsi="Times New Roman" w:cs="Times New Roman"/>
                <w:b w:val="0"/>
                <w:bCs w:val="0"/>
                <w:caps/>
                <w:color w:val="0D0D0D"/>
                <w:lang w:val="en-GB"/>
              </w:rPr>
              <w:t>T</w:t>
            </w:r>
          </w:p>
        </w:tc>
        <w:tc>
          <w:tcPr>
            <w:tcW w:w="1080" w:type="dxa"/>
            <w:tcBorders>
              <w:top w:val="single" w:sz="12" w:space="0" w:color="auto"/>
              <w:bottom w:val="single" w:sz="12" w:space="0" w:color="auto"/>
            </w:tcBorders>
            <w:shd w:val="clear" w:color="auto" w:fill="FFFFFF"/>
          </w:tcPr>
          <w:p w14:paraId="143FA165"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i/>
                <w:caps/>
                <w:color w:val="0D0D0D"/>
                <w:lang w:val="en-GB"/>
              </w:rPr>
            </w:pPr>
            <w:r w:rsidRPr="00FA5648">
              <w:rPr>
                <w:rFonts w:ascii="Times New Roman" w:eastAsia="Calibri" w:hAnsi="Times New Roman" w:cs="Times New Roman"/>
                <w:b w:val="0"/>
                <w:bCs w:val="0"/>
                <w:i/>
                <w:caps/>
                <w:color w:val="0D0D0D"/>
                <w:lang w:val="en-GB"/>
              </w:rPr>
              <w:t>P</w:t>
            </w:r>
          </w:p>
        </w:tc>
        <w:tc>
          <w:tcPr>
            <w:tcW w:w="1980" w:type="dxa"/>
            <w:tcBorders>
              <w:top w:val="single" w:sz="12" w:space="0" w:color="auto"/>
              <w:bottom w:val="single" w:sz="12" w:space="0" w:color="auto"/>
            </w:tcBorders>
            <w:shd w:val="clear" w:color="auto" w:fill="FFFFFF"/>
          </w:tcPr>
          <w:p w14:paraId="681F4FB8"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aps/>
                <w:color w:val="0D0D0D"/>
                <w:lang w:val="en-GB"/>
              </w:rPr>
            </w:pPr>
            <w:r w:rsidRPr="00FA5648">
              <w:rPr>
                <w:rFonts w:ascii="Times New Roman" w:eastAsia="Calibri" w:hAnsi="Times New Roman" w:cs="Times New Roman"/>
                <w:b w:val="0"/>
                <w:bCs w:val="0"/>
                <w:caps/>
                <w:color w:val="0D0D0D"/>
                <w:lang w:val="en-GB"/>
              </w:rPr>
              <w:t>Partial correlation</w:t>
            </w:r>
          </w:p>
        </w:tc>
        <w:tc>
          <w:tcPr>
            <w:tcW w:w="1980" w:type="dxa"/>
            <w:tcBorders>
              <w:top w:val="single" w:sz="12" w:space="0" w:color="auto"/>
              <w:bottom w:val="single" w:sz="12" w:space="0" w:color="auto"/>
            </w:tcBorders>
            <w:shd w:val="clear" w:color="auto" w:fill="FFFFFF"/>
          </w:tcPr>
          <w:p w14:paraId="1442303F"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aps/>
                <w:color w:val="0D0D0D"/>
                <w:lang w:val="en-GB"/>
              </w:rPr>
            </w:pPr>
            <w:r w:rsidRPr="00FA5648">
              <w:rPr>
                <w:rFonts w:ascii="Times New Roman" w:eastAsia="Calibri" w:hAnsi="Times New Roman" w:cs="Times New Roman"/>
                <w:b w:val="0"/>
                <w:bCs w:val="0"/>
                <w:caps/>
                <w:color w:val="0D0D0D"/>
                <w:lang w:val="en-GB"/>
              </w:rPr>
              <w:t>Part correlation</w:t>
            </w:r>
          </w:p>
        </w:tc>
        <w:tc>
          <w:tcPr>
            <w:tcW w:w="1980" w:type="dxa"/>
            <w:tcBorders>
              <w:top w:val="single" w:sz="12" w:space="0" w:color="auto"/>
              <w:bottom w:val="single" w:sz="12" w:space="0" w:color="auto"/>
            </w:tcBorders>
            <w:shd w:val="clear" w:color="auto" w:fill="FFFFFF"/>
          </w:tcPr>
          <w:p w14:paraId="4A4191AA" w14:textId="77777777" w:rsidR="00D50479" w:rsidRPr="00FA5648" w:rsidRDefault="00D50479" w:rsidP="00AD14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aps/>
                <w:color w:val="0D0D0D"/>
                <w:lang w:val="en-GB"/>
              </w:rPr>
            </w:pPr>
            <w:r w:rsidRPr="00FA5648">
              <w:rPr>
                <w:rFonts w:ascii="Times New Roman" w:eastAsia="Calibri" w:hAnsi="Times New Roman" w:cs="Times New Roman"/>
                <w:b w:val="0"/>
                <w:bCs w:val="0"/>
                <w:caps/>
                <w:color w:val="0D0D0D"/>
                <w:lang w:val="en-GB"/>
              </w:rPr>
              <w:t>Part squared</w:t>
            </w:r>
          </w:p>
        </w:tc>
      </w:tr>
      <w:tr w:rsidR="00D50479" w:rsidRPr="004524A3" w14:paraId="205CE7C3" w14:textId="77777777" w:rsidTr="00D50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tcBorders>
              <w:top w:val="single" w:sz="12" w:space="0" w:color="auto"/>
            </w:tcBorders>
            <w:shd w:val="clear" w:color="auto" w:fill="FFFFFF"/>
          </w:tcPr>
          <w:p w14:paraId="0E56CED5" w14:textId="7BA0A665" w:rsidR="00D50479" w:rsidRPr="00642E85" w:rsidRDefault="00642E85" w:rsidP="00AD148D">
            <w:pPr>
              <w:spacing w:line="276" w:lineRule="auto"/>
              <w:jc w:val="both"/>
              <w:rPr>
                <w:rFonts w:ascii="Times New Roman" w:eastAsia="Calibri" w:hAnsi="Times New Roman" w:cs="Times New Roman"/>
                <w:b w:val="0"/>
                <w:bCs w:val="0"/>
                <w:caps/>
                <w:color w:val="0D0D0D"/>
                <w:lang w:val="en-GB"/>
              </w:rPr>
            </w:pPr>
            <w:r w:rsidRPr="00642E85">
              <w:rPr>
                <w:rFonts w:ascii="Times New Roman" w:eastAsia="Calibri" w:hAnsi="Times New Roman" w:cs="Times New Roman"/>
                <w:b w:val="0"/>
                <w:bCs w:val="0"/>
                <w:color w:val="0D0D0D"/>
              </w:rPr>
              <w:t>feedback clarity</w:t>
            </w:r>
          </w:p>
        </w:tc>
        <w:tc>
          <w:tcPr>
            <w:tcW w:w="732" w:type="dxa"/>
            <w:tcBorders>
              <w:top w:val="single" w:sz="12" w:space="0" w:color="auto"/>
            </w:tcBorders>
            <w:shd w:val="clear" w:color="auto" w:fill="FFFFFF"/>
          </w:tcPr>
          <w:p w14:paraId="3349821E"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.248</w:t>
            </w:r>
          </w:p>
        </w:tc>
        <w:tc>
          <w:tcPr>
            <w:tcW w:w="720" w:type="dxa"/>
            <w:tcBorders>
              <w:top w:val="single" w:sz="12" w:space="0" w:color="auto"/>
            </w:tcBorders>
            <w:shd w:val="clear" w:color="auto" w:fill="FFFFFF"/>
          </w:tcPr>
          <w:p w14:paraId="26119057"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.285</w:t>
            </w:r>
          </w:p>
        </w:tc>
        <w:tc>
          <w:tcPr>
            <w:tcW w:w="720" w:type="dxa"/>
            <w:tcBorders>
              <w:top w:val="single" w:sz="12" w:space="0" w:color="auto"/>
            </w:tcBorders>
            <w:shd w:val="clear" w:color="auto" w:fill="FFFFFF"/>
          </w:tcPr>
          <w:p w14:paraId="0ADB3279"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4.380</w:t>
            </w:r>
          </w:p>
        </w:tc>
        <w:tc>
          <w:tcPr>
            <w:tcW w:w="1080" w:type="dxa"/>
            <w:tcBorders>
              <w:top w:val="single" w:sz="12" w:space="0" w:color="auto"/>
            </w:tcBorders>
            <w:shd w:val="clear" w:color="auto" w:fill="FFFFFF"/>
          </w:tcPr>
          <w:p w14:paraId="162C0FC5"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.000</w:t>
            </w:r>
          </w:p>
        </w:tc>
        <w:tc>
          <w:tcPr>
            <w:tcW w:w="1980" w:type="dxa"/>
            <w:tcBorders>
              <w:top w:val="single" w:sz="12" w:space="0" w:color="auto"/>
            </w:tcBorders>
            <w:shd w:val="clear" w:color="auto" w:fill="FFFFFF"/>
          </w:tcPr>
          <w:p w14:paraId="3365BACE"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.262</w:t>
            </w:r>
          </w:p>
        </w:tc>
        <w:tc>
          <w:tcPr>
            <w:tcW w:w="1980" w:type="dxa"/>
            <w:tcBorders>
              <w:top w:val="single" w:sz="12" w:space="0" w:color="auto"/>
            </w:tcBorders>
            <w:shd w:val="clear" w:color="auto" w:fill="FFFFFF"/>
          </w:tcPr>
          <w:p w14:paraId="60BC3A30"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.247</w:t>
            </w:r>
          </w:p>
        </w:tc>
        <w:tc>
          <w:tcPr>
            <w:tcW w:w="1980" w:type="dxa"/>
            <w:tcBorders>
              <w:top w:val="single" w:sz="12" w:space="0" w:color="auto"/>
            </w:tcBorders>
            <w:shd w:val="clear" w:color="auto" w:fill="FFFFFF"/>
          </w:tcPr>
          <w:p w14:paraId="30113CF9"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.25</w:t>
            </w:r>
          </w:p>
        </w:tc>
      </w:tr>
      <w:tr w:rsidR="00D50479" w:rsidRPr="004524A3" w14:paraId="29B92D73" w14:textId="77777777" w:rsidTr="00D50479">
        <w:tc>
          <w:tcPr>
            <w:cnfStyle w:val="001000000000" w:firstRow="0" w:lastRow="0" w:firstColumn="1" w:lastColumn="0" w:oddVBand="0" w:evenVBand="0" w:oddHBand="0" w:evenHBand="0" w:firstRowFirstColumn="0" w:firstRowLastColumn="0" w:lastRowFirstColumn="0" w:lastRowLastColumn="0"/>
            <w:tcW w:w="2148" w:type="dxa"/>
            <w:shd w:val="clear" w:color="auto" w:fill="FFFFFF"/>
          </w:tcPr>
          <w:p w14:paraId="2733EC5F" w14:textId="27744F52" w:rsidR="00D50479" w:rsidRPr="00642E85" w:rsidRDefault="00642E85" w:rsidP="00AD148D">
            <w:pPr>
              <w:spacing w:line="276" w:lineRule="auto"/>
              <w:jc w:val="both"/>
              <w:rPr>
                <w:rFonts w:ascii="Times New Roman" w:eastAsia="Calibri" w:hAnsi="Times New Roman" w:cs="Times New Roman"/>
                <w:b w:val="0"/>
                <w:bCs w:val="0"/>
                <w:caps/>
                <w:color w:val="0D0D0D"/>
                <w:lang w:val="en-GB"/>
              </w:rPr>
            </w:pPr>
            <w:r w:rsidRPr="00642E85">
              <w:rPr>
                <w:rFonts w:ascii="Times New Roman" w:eastAsia="Calibri" w:hAnsi="Times New Roman" w:cs="Times New Roman"/>
                <w:b w:val="0"/>
                <w:bCs w:val="0"/>
                <w:color w:val="0D0D0D"/>
                <w:lang w:val="en-GB"/>
              </w:rPr>
              <w:t>data utilization</w:t>
            </w:r>
          </w:p>
        </w:tc>
        <w:tc>
          <w:tcPr>
            <w:tcW w:w="732" w:type="dxa"/>
            <w:shd w:val="clear" w:color="auto" w:fill="FFFFFF"/>
          </w:tcPr>
          <w:p w14:paraId="0DFFCBC3"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.169</w:t>
            </w:r>
          </w:p>
        </w:tc>
        <w:tc>
          <w:tcPr>
            <w:tcW w:w="720" w:type="dxa"/>
            <w:shd w:val="clear" w:color="auto" w:fill="FFFFFF"/>
          </w:tcPr>
          <w:p w14:paraId="2938A3C0"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.108</w:t>
            </w:r>
          </w:p>
        </w:tc>
        <w:tc>
          <w:tcPr>
            <w:tcW w:w="720" w:type="dxa"/>
            <w:shd w:val="clear" w:color="auto" w:fill="FFFFFF"/>
          </w:tcPr>
          <w:p w14:paraId="7CEEC128"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2.972</w:t>
            </w:r>
          </w:p>
        </w:tc>
        <w:tc>
          <w:tcPr>
            <w:tcW w:w="1080" w:type="dxa"/>
            <w:shd w:val="clear" w:color="auto" w:fill="FFFFFF"/>
          </w:tcPr>
          <w:p w14:paraId="6E751583"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.003</w:t>
            </w:r>
          </w:p>
        </w:tc>
        <w:tc>
          <w:tcPr>
            <w:tcW w:w="1980" w:type="dxa"/>
            <w:shd w:val="clear" w:color="auto" w:fill="FFFFFF"/>
          </w:tcPr>
          <w:p w14:paraId="1CC737B5"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.181</w:t>
            </w:r>
          </w:p>
        </w:tc>
        <w:tc>
          <w:tcPr>
            <w:tcW w:w="1980" w:type="dxa"/>
            <w:shd w:val="clear" w:color="auto" w:fill="FFFFFF"/>
          </w:tcPr>
          <w:p w14:paraId="21B0CAA3"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.167</w:t>
            </w:r>
          </w:p>
        </w:tc>
        <w:tc>
          <w:tcPr>
            <w:tcW w:w="1980" w:type="dxa"/>
            <w:shd w:val="clear" w:color="auto" w:fill="FFFFFF"/>
          </w:tcPr>
          <w:p w14:paraId="165A8551"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.16</w:t>
            </w:r>
          </w:p>
        </w:tc>
      </w:tr>
      <w:tr w:rsidR="00D50479" w:rsidRPr="004524A3" w14:paraId="055E50B5" w14:textId="77777777" w:rsidTr="00D50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shd w:val="clear" w:color="auto" w:fill="FFFFFF"/>
          </w:tcPr>
          <w:p w14:paraId="40115105" w14:textId="734C87A3" w:rsidR="00D50479" w:rsidRPr="00642E85" w:rsidRDefault="00642E85" w:rsidP="00AD148D">
            <w:pPr>
              <w:spacing w:line="276" w:lineRule="auto"/>
              <w:jc w:val="both"/>
              <w:rPr>
                <w:rFonts w:ascii="Times New Roman" w:eastAsia="Calibri" w:hAnsi="Times New Roman" w:cs="Times New Roman"/>
                <w:b w:val="0"/>
                <w:bCs w:val="0"/>
                <w:caps/>
                <w:color w:val="0D0D0D"/>
                <w:lang w:val="en-GB"/>
              </w:rPr>
            </w:pPr>
            <w:r w:rsidRPr="00642E85">
              <w:rPr>
                <w:rFonts w:ascii="Times New Roman" w:eastAsia="Calibri" w:hAnsi="Times New Roman" w:cs="Times New Roman"/>
                <w:b w:val="0"/>
                <w:bCs w:val="0"/>
                <w:color w:val="0D0D0D"/>
                <w:lang w:val="en-GB"/>
              </w:rPr>
              <w:t>decentralized process</w:t>
            </w:r>
          </w:p>
        </w:tc>
        <w:tc>
          <w:tcPr>
            <w:tcW w:w="732" w:type="dxa"/>
            <w:shd w:val="clear" w:color="auto" w:fill="FFFFFF"/>
          </w:tcPr>
          <w:p w14:paraId="735E0827"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.147</w:t>
            </w:r>
          </w:p>
        </w:tc>
        <w:tc>
          <w:tcPr>
            <w:tcW w:w="720" w:type="dxa"/>
            <w:shd w:val="clear" w:color="auto" w:fill="FFFFFF"/>
          </w:tcPr>
          <w:p w14:paraId="796BAA1D"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.090</w:t>
            </w:r>
          </w:p>
        </w:tc>
        <w:tc>
          <w:tcPr>
            <w:tcW w:w="720" w:type="dxa"/>
            <w:shd w:val="clear" w:color="auto" w:fill="FFFFFF"/>
          </w:tcPr>
          <w:p w14:paraId="326A14BF"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2.617</w:t>
            </w:r>
          </w:p>
        </w:tc>
        <w:tc>
          <w:tcPr>
            <w:tcW w:w="1080" w:type="dxa"/>
            <w:shd w:val="clear" w:color="auto" w:fill="FFFFFF"/>
          </w:tcPr>
          <w:p w14:paraId="2AAAA0C1"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.009</w:t>
            </w:r>
          </w:p>
        </w:tc>
        <w:tc>
          <w:tcPr>
            <w:tcW w:w="1980" w:type="dxa"/>
            <w:shd w:val="clear" w:color="auto" w:fill="FFFFFF"/>
          </w:tcPr>
          <w:p w14:paraId="6EE5DCE2"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.160</w:t>
            </w:r>
          </w:p>
        </w:tc>
        <w:tc>
          <w:tcPr>
            <w:tcW w:w="1980" w:type="dxa"/>
            <w:shd w:val="clear" w:color="auto" w:fill="FFFFFF"/>
          </w:tcPr>
          <w:p w14:paraId="0357C2F7"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.247</w:t>
            </w:r>
          </w:p>
        </w:tc>
        <w:tc>
          <w:tcPr>
            <w:tcW w:w="1980" w:type="dxa"/>
            <w:shd w:val="clear" w:color="auto" w:fill="FFFFFF"/>
          </w:tcPr>
          <w:p w14:paraId="58DF30C1"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.0484</w:t>
            </w:r>
          </w:p>
        </w:tc>
      </w:tr>
      <w:tr w:rsidR="00D50479" w:rsidRPr="004524A3" w14:paraId="5B27B289" w14:textId="77777777" w:rsidTr="00D50479">
        <w:tc>
          <w:tcPr>
            <w:cnfStyle w:val="001000000000" w:firstRow="0" w:lastRow="0" w:firstColumn="1" w:lastColumn="0" w:oddVBand="0" w:evenVBand="0" w:oddHBand="0" w:evenHBand="0" w:firstRowFirstColumn="0" w:firstRowLastColumn="0" w:lastRowFirstColumn="0" w:lastRowLastColumn="0"/>
            <w:tcW w:w="2148" w:type="dxa"/>
            <w:tcBorders>
              <w:bottom w:val="nil"/>
            </w:tcBorders>
            <w:shd w:val="clear" w:color="auto" w:fill="FFFFFF"/>
          </w:tcPr>
          <w:p w14:paraId="0E4AD526" w14:textId="61C67FA4" w:rsidR="00D50479" w:rsidRPr="00642E85" w:rsidRDefault="00B76EED" w:rsidP="00AD148D">
            <w:pPr>
              <w:spacing w:line="276" w:lineRule="auto"/>
              <w:jc w:val="both"/>
              <w:rPr>
                <w:rFonts w:ascii="Times New Roman" w:eastAsia="Calibri" w:hAnsi="Times New Roman" w:cs="Times New Roman"/>
                <w:b w:val="0"/>
                <w:bCs w:val="0"/>
                <w:caps/>
                <w:color w:val="0D0D0D"/>
                <w:lang w:val="en-GB"/>
              </w:rPr>
            </w:pPr>
            <w:r>
              <w:rPr>
                <w:rFonts w:ascii="Times New Roman" w:eastAsia="Calibri" w:hAnsi="Times New Roman" w:cs="Times New Roman"/>
                <w:b w:val="0"/>
                <w:bCs w:val="0"/>
                <w:color w:val="0D0D0D"/>
                <w:lang w:val="en-GB"/>
              </w:rPr>
              <w:lastRenderedPageBreak/>
              <w:t>S</w:t>
            </w:r>
            <w:r w:rsidR="00642E85" w:rsidRPr="00642E85">
              <w:rPr>
                <w:rFonts w:ascii="Times New Roman" w:eastAsia="Calibri" w:hAnsi="Times New Roman" w:cs="Times New Roman"/>
                <w:b w:val="0"/>
                <w:bCs w:val="0"/>
                <w:color w:val="0D0D0D"/>
                <w:lang w:val="en-GB"/>
              </w:rPr>
              <w:t>chool preference consideration</w:t>
            </w:r>
          </w:p>
        </w:tc>
        <w:tc>
          <w:tcPr>
            <w:tcW w:w="732" w:type="dxa"/>
            <w:tcBorders>
              <w:bottom w:val="nil"/>
            </w:tcBorders>
            <w:shd w:val="clear" w:color="auto" w:fill="FFFFFF"/>
          </w:tcPr>
          <w:p w14:paraId="67DFB86B"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.153</w:t>
            </w:r>
          </w:p>
        </w:tc>
        <w:tc>
          <w:tcPr>
            <w:tcW w:w="720" w:type="dxa"/>
            <w:tcBorders>
              <w:bottom w:val="nil"/>
            </w:tcBorders>
            <w:shd w:val="clear" w:color="auto" w:fill="FFFFFF"/>
          </w:tcPr>
          <w:p w14:paraId="0CB2C1C2"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.151</w:t>
            </w:r>
          </w:p>
        </w:tc>
        <w:tc>
          <w:tcPr>
            <w:tcW w:w="720" w:type="dxa"/>
            <w:tcBorders>
              <w:bottom w:val="nil"/>
            </w:tcBorders>
            <w:shd w:val="clear" w:color="auto" w:fill="FFFFFF"/>
          </w:tcPr>
          <w:p w14:paraId="40BFDDA2"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2.695</w:t>
            </w:r>
          </w:p>
        </w:tc>
        <w:tc>
          <w:tcPr>
            <w:tcW w:w="1080" w:type="dxa"/>
            <w:tcBorders>
              <w:bottom w:val="nil"/>
            </w:tcBorders>
            <w:shd w:val="clear" w:color="auto" w:fill="FFFFFF"/>
          </w:tcPr>
          <w:p w14:paraId="1BA6657F"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.007</w:t>
            </w:r>
          </w:p>
        </w:tc>
        <w:tc>
          <w:tcPr>
            <w:tcW w:w="1980" w:type="dxa"/>
            <w:tcBorders>
              <w:bottom w:val="nil"/>
            </w:tcBorders>
            <w:shd w:val="clear" w:color="auto" w:fill="FFFFFF"/>
          </w:tcPr>
          <w:p w14:paraId="59908437"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.165</w:t>
            </w:r>
          </w:p>
        </w:tc>
        <w:tc>
          <w:tcPr>
            <w:tcW w:w="1980" w:type="dxa"/>
            <w:tcBorders>
              <w:bottom w:val="nil"/>
            </w:tcBorders>
            <w:shd w:val="clear" w:color="auto" w:fill="FFFFFF"/>
          </w:tcPr>
          <w:p w14:paraId="182D0BF9"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.152</w:t>
            </w:r>
          </w:p>
        </w:tc>
        <w:tc>
          <w:tcPr>
            <w:tcW w:w="1980" w:type="dxa"/>
            <w:tcBorders>
              <w:bottom w:val="nil"/>
            </w:tcBorders>
            <w:shd w:val="clear" w:color="auto" w:fill="FFFFFF"/>
          </w:tcPr>
          <w:p w14:paraId="133108B5" w14:textId="77777777" w:rsidR="00D50479" w:rsidRPr="004524A3" w:rsidRDefault="00D50479" w:rsidP="00AD14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.0324</w:t>
            </w:r>
          </w:p>
        </w:tc>
      </w:tr>
      <w:tr w:rsidR="00D50479" w:rsidRPr="004524A3" w14:paraId="22E02157" w14:textId="77777777" w:rsidTr="00D50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tcBorders>
              <w:top w:val="nil"/>
              <w:bottom w:val="single" w:sz="12" w:space="0" w:color="auto"/>
            </w:tcBorders>
            <w:shd w:val="clear" w:color="auto" w:fill="FFFFFF"/>
          </w:tcPr>
          <w:p w14:paraId="1CF9271C" w14:textId="0F07AF9B" w:rsidR="00D50479" w:rsidRPr="00642E85" w:rsidRDefault="00642E85" w:rsidP="00AD148D">
            <w:pPr>
              <w:spacing w:line="276" w:lineRule="auto"/>
              <w:jc w:val="both"/>
              <w:rPr>
                <w:rFonts w:ascii="Times New Roman" w:eastAsia="Calibri" w:hAnsi="Times New Roman" w:cs="Times New Roman"/>
                <w:b w:val="0"/>
                <w:bCs w:val="0"/>
                <w:caps/>
                <w:color w:val="0D0D0D"/>
                <w:lang w:val="en-GB"/>
              </w:rPr>
            </w:pPr>
            <w:r w:rsidRPr="00642E85">
              <w:rPr>
                <w:rFonts w:ascii="Times New Roman" w:eastAsia="Calibri" w:hAnsi="Times New Roman" w:cs="Times New Roman"/>
                <w:b w:val="0"/>
                <w:bCs w:val="0"/>
                <w:color w:val="0D0D0D"/>
              </w:rPr>
              <w:t xml:space="preserve">category “a” school denial </w:t>
            </w:r>
          </w:p>
        </w:tc>
        <w:tc>
          <w:tcPr>
            <w:tcW w:w="732" w:type="dxa"/>
            <w:tcBorders>
              <w:top w:val="nil"/>
              <w:bottom w:val="single" w:sz="12" w:space="0" w:color="auto"/>
            </w:tcBorders>
            <w:shd w:val="clear" w:color="auto" w:fill="FFFFFF"/>
          </w:tcPr>
          <w:p w14:paraId="1D5E21E2"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.129</w:t>
            </w:r>
          </w:p>
        </w:tc>
        <w:tc>
          <w:tcPr>
            <w:tcW w:w="720" w:type="dxa"/>
            <w:tcBorders>
              <w:top w:val="nil"/>
              <w:bottom w:val="single" w:sz="12" w:space="0" w:color="auto"/>
            </w:tcBorders>
            <w:shd w:val="clear" w:color="auto" w:fill="FFFFFF"/>
          </w:tcPr>
          <w:p w14:paraId="3F46A43B"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.099</w:t>
            </w:r>
          </w:p>
        </w:tc>
        <w:tc>
          <w:tcPr>
            <w:tcW w:w="720" w:type="dxa"/>
            <w:tcBorders>
              <w:top w:val="nil"/>
              <w:bottom w:val="single" w:sz="12" w:space="0" w:color="auto"/>
            </w:tcBorders>
            <w:shd w:val="clear" w:color="auto" w:fill="FFFFFF"/>
          </w:tcPr>
          <w:p w14:paraId="14175011"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2.285</w:t>
            </w:r>
          </w:p>
        </w:tc>
        <w:tc>
          <w:tcPr>
            <w:tcW w:w="1080" w:type="dxa"/>
            <w:tcBorders>
              <w:top w:val="nil"/>
              <w:bottom w:val="single" w:sz="12" w:space="0" w:color="auto"/>
            </w:tcBorders>
            <w:shd w:val="clear" w:color="auto" w:fill="FFFFFF"/>
          </w:tcPr>
          <w:p w14:paraId="5D674D7A"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.023</w:t>
            </w:r>
          </w:p>
        </w:tc>
        <w:tc>
          <w:tcPr>
            <w:tcW w:w="1980" w:type="dxa"/>
            <w:tcBorders>
              <w:top w:val="nil"/>
              <w:bottom w:val="single" w:sz="12" w:space="0" w:color="auto"/>
            </w:tcBorders>
            <w:shd w:val="clear" w:color="auto" w:fill="FFFFFF"/>
          </w:tcPr>
          <w:p w14:paraId="5F142F17"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.140</w:t>
            </w:r>
          </w:p>
        </w:tc>
        <w:tc>
          <w:tcPr>
            <w:tcW w:w="1980" w:type="dxa"/>
            <w:tcBorders>
              <w:top w:val="nil"/>
              <w:bottom w:val="single" w:sz="12" w:space="0" w:color="auto"/>
            </w:tcBorders>
            <w:shd w:val="clear" w:color="auto" w:fill="FFFFFF"/>
          </w:tcPr>
          <w:p w14:paraId="245F632B"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.129</w:t>
            </w:r>
          </w:p>
        </w:tc>
        <w:tc>
          <w:tcPr>
            <w:tcW w:w="1980" w:type="dxa"/>
            <w:tcBorders>
              <w:top w:val="nil"/>
              <w:bottom w:val="single" w:sz="12" w:space="0" w:color="auto"/>
            </w:tcBorders>
            <w:shd w:val="clear" w:color="auto" w:fill="FFFFFF"/>
          </w:tcPr>
          <w:p w14:paraId="7A6C2BFA" w14:textId="77777777" w:rsidR="00D50479" w:rsidRPr="004524A3" w:rsidRDefault="00D50479" w:rsidP="00AD14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D0D0D"/>
                <w:lang w:val="en-GB"/>
              </w:rPr>
            </w:pPr>
            <w:r w:rsidRPr="004524A3">
              <w:rPr>
                <w:rFonts w:ascii="Times New Roman" w:eastAsia="Calibri" w:hAnsi="Times New Roman" w:cs="Times New Roman"/>
                <w:color w:val="0D0D0D"/>
                <w:lang w:val="en-GB"/>
              </w:rPr>
              <w:t>.04</w:t>
            </w:r>
          </w:p>
        </w:tc>
      </w:tr>
    </w:tbl>
    <w:p w14:paraId="0B6BC27A" w14:textId="77777777" w:rsidR="00D50479" w:rsidRPr="004524A3" w:rsidRDefault="00D50479" w:rsidP="00AD148D">
      <w:pPr>
        <w:spacing w:after="0" w:line="276" w:lineRule="auto"/>
        <w:jc w:val="both"/>
        <w:rPr>
          <w:rFonts w:ascii="Times New Roman" w:eastAsia="Calibri" w:hAnsi="Times New Roman" w:cs="Times New Roman"/>
          <w:color w:val="0D0D0D"/>
          <w:sz w:val="24"/>
          <w:szCs w:val="24"/>
          <w:lang w:val="en-GB"/>
        </w:rPr>
      </w:pPr>
      <w:r w:rsidRPr="004524A3">
        <w:rPr>
          <w:rFonts w:ascii="Times New Roman" w:eastAsia="Calibri" w:hAnsi="Times New Roman" w:cs="Times New Roman"/>
          <w:color w:val="0D0D0D"/>
          <w:sz w:val="24"/>
          <w:szCs w:val="24"/>
          <w:lang w:val="en-GB"/>
        </w:rPr>
        <w:t>P&lt;.05</w:t>
      </w:r>
    </w:p>
    <w:p w14:paraId="40107AD1" w14:textId="77777777" w:rsidR="00D50479" w:rsidRPr="004524A3" w:rsidRDefault="00D50479" w:rsidP="00AD148D">
      <w:pPr>
        <w:spacing w:after="0" w:line="276" w:lineRule="auto"/>
        <w:jc w:val="both"/>
        <w:rPr>
          <w:rFonts w:ascii="Calibri" w:eastAsia="Calibri" w:hAnsi="Calibri" w:cs="Times New Roman"/>
          <w:b/>
          <w:color w:val="0D0D0D"/>
          <w:lang w:val="en-GB"/>
        </w:rPr>
      </w:pPr>
      <w:r w:rsidRPr="004524A3">
        <w:rPr>
          <w:rFonts w:ascii="Calibri" w:eastAsia="Calibri" w:hAnsi="Calibri" w:cs="Times New Roman"/>
          <w:b/>
          <w:color w:val="0D0D0D"/>
          <w:lang w:val="en-GB"/>
        </w:rPr>
        <w:t>Source filed work, 2024</w:t>
      </w:r>
    </w:p>
    <w:p w14:paraId="53447C1E" w14:textId="7777777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color w:val="0D0D0D"/>
          <w:sz w:val="24"/>
          <w:szCs w:val="24"/>
          <w14:ligatures w14:val="standardContextual"/>
        </w:rPr>
      </w:pPr>
    </w:p>
    <w:p w14:paraId="5A29AD0F" w14:textId="77777777" w:rsidR="0063611E" w:rsidRDefault="0063611E" w:rsidP="00AD148D">
      <w:pPr>
        <w:autoSpaceDE w:val="0"/>
        <w:autoSpaceDN w:val="0"/>
        <w:adjustRightInd w:val="0"/>
        <w:spacing w:after="0" w:line="276" w:lineRule="auto"/>
        <w:jc w:val="both"/>
        <w:rPr>
          <w:rFonts w:ascii="Times New Roman" w:eastAsia="Calibri" w:hAnsi="Times New Roman" w:cs="Times New Roman"/>
          <w:b/>
          <w:color w:val="0D0D0D"/>
          <w:sz w:val="24"/>
          <w:szCs w:val="24"/>
          <w14:ligatures w14:val="standardContextual"/>
        </w:rPr>
      </w:pPr>
    </w:p>
    <w:p w14:paraId="4FC75209" w14:textId="77777777" w:rsidR="0063611E" w:rsidRDefault="0063611E" w:rsidP="00AD148D">
      <w:pPr>
        <w:autoSpaceDE w:val="0"/>
        <w:autoSpaceDN w:val="0"/>
        <w:adjustRightInd w:val="0"/>
        <w:spacing w:after="0" w:line="276" w:lineRule="auto"/>
        <w:jc w:val="both"/>
        <w:rPr>
          <w:rFonts w:ascii="Times New Roman" w:eastAsia="Calibri" w:hAnsi="Times New Roman" w:cs="Times New Roman"/>
          <w:b/>
          <w:color w:val="0D0D0D"/>
          <w:sz w:val="24"/>
          <w:szCs w:val="24"/>
          <w14:ligatures w14:val="standardContextual"/>
        </w:rPr>
      </w:pPr>
    </w:p>
    <w:p w14:paraId="055A5CB9" w14:textId="0BE0F29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b/>
          <w:color w:val="0D0D0D"/>
          <w:sz w:val="24"/>
          <w:szCs w:val="24"/>
          <w14:ligatures w14:val="standardContextual"/>
        </w:rPr>
      </w:pPr>
      <w:r w:rsidRPr="004524A3">
        <w:rPr>
          <w:rFonts w:ascii="Times New Roman" w:eastAsia="Calibri" w:hAnsi="Times New Roman" w:cs="Times New Roman"/>
          <w:b/>
          <w:color w:val="0D0D0D"/>
          <w:sz w:val="24"/>
          <w:szCs w:val="24"/>
          <w14:ligatures w14:val="standardContextual"/>
        </w:rPr>
        <w:t>Discussion</w:t>
      </w:r>
    </w:p>
    <w:p w14:paraId="76A3E62B" w14:textId="77777777" w:rsidR="00D50479" w:rsidRPr="004524A3" w:rsidRDefault="00D50479" w:rsidP="00AD148D">
      <w:pPr>
        <w:autoSpaceDE w:val="0"/>
        <w:autoSpaceDN w:val="0"/>
        <w:adjustRightInd w:val="0"/>
        <w:spacing w:after="0" w:line="276" w:lineRule="auto"/>
        <w:jc w:val="both"/>
        <w:rPr>
          <w:rFonts w:ascii="Times New Roman" w:eastAsia="Calibri" w:hAnsi="Times New Roman" w:cs="Times New Roman"/>
          <w:color w:val="0D0D0D"/>
          <w:sz w:val="24"/>
          <w:szCs w:val="24"/>
          <w14:ligatures w14:val="standardContextual"/>
        </w:rPr>
      </w:pPr>
    </w:p>
    <w:p w14:paraId="21701C11" w14:textId="77777777" w:rsidR="006D66CE" w:rsidRPr="00BC5B91" w:rsidRDefault="006D66CE" w:rsidP="00AD148D">
      <w:pPr>
        <w:autoSpaceDE w:val="0"/>
        <w:autoSpaceDN w:val="0"/>
        <w:adjustRightInd w:val="0"/>
        <w:spacing w:after="0" w:line="276" w:lineRule="auto"/>
        <w:jc w:val="both"/>
        <w:rPr>
          <w:rFonts w:ascii="Times New Roman" w:eastAsia="Calibri" w:hAnsi="Times New Roman" w:cs="Times New Roman"/>
          <w:color w:val="0D0D0D"/>
          <w:sz w:val="24"/>
          <w:szCs w:val="24"/>
          <w14:ligatures w14:val="standardContextual"/>
        </w:rPr>
      </w:pPr>
      <w:r w:rsidRPr="00BC5B91">
        <w:rPr>
          <w:rFonts w:ascii="Times New Roman" w:eastAsia="Calibri" w:hAnsi="Times New Roman" w:cs="Times New Roman"/>
          <w:color w:val="0D0D0D"/>
          <w:sz w:val="24"/>
          <w:szCs w:val="24"/>
          <w14:ligatures w14:val="standardContextual"/>
        </w:rPr>
        <w:t>The multiple regression analysis revealed that feedback clarity, data utilization, decentralized process, school preference, and consideration category "A" school denial significantly influenced enrolment success. These findings have important implications for the equity and efficiency hypotheses proposed for the CSSPS.</w:t>
      </w:r>
    </w:p>
    <w:p w14:paraId="64F16E7F"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sz w:val="24"/>
          <w:szCs w:val="24"/>
        </w:rPr>
        <w:t>This study explored students’ perceptions of enrollment success and their experiences with the Computerized School Selection and Placement System (CSSPS) in Ghana. The findings provide insight into how the inefficiency of feedback mechanisms, inadequate data utilization (especially regarding student interests and co-curricular activities), the centralized structure of the CSSPS, limited consideration of student preferences, and the 30% Category A placement policy collectively impact enrollment outcomes.</w:t>
      </w:r>
    </w:p>
    <w:p w14:paraId="1D28F26E"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bCs/>
          <w:sz w:val="24"/>
          <w:szCs w:val="24"/>
        </w:rPr>
        <w:t>Feedback clarity</w:t>
      </w:r>
      <w:r w:rsidRPr="00BC5B91">
        <w:rPr>
          <w:rFonts w:ascii="Times New Roman" w:eastAsia="Times New Roman" w:hAnsi="Times New Roman" w:cs="Times New Roman"/>
          <w:sz w:val="24"/>
          <w:szCs w:val="24"/>
        </w:rPr>
        <w:t xml:space="preserve"> was the most significant predictor of enrollment success (β = .285, p = .000), supporting </w:t>
      </w:r>
      <w:r w:rsidRPr="00BC5B91">
        <w:rPr>
          <w:rFonts w:ascii="Times New Roman" w:eastAsia="Times New Roman" w:hAnsi="Times New Roman" w:cs="Times New Roman"/>
          <w:bCs/>
          <w:sz w:val="24"/>
          <w:szCs w:val="24"/>
        </w:rPr>
        <w:t>H3</w:t>
      </w:r>
      <w:r w:rsidRPr="00BC5B91">
        <w:rPr>
          <w:rFonts w:ascii="Times New Roman" w:eastAsia="Times New Roman" w:hAnsi="Times New Roman" w:cs="Times New Roman"/>
          <w:sz w:val="24"/>
          <w:szCs w:val="24"/>
        </w:rPr>
        <w:t>, which posited that implementing a real-time feedback mechanism in CSSPS would significantly increase enrollment success. Students reported that delays or a lack of clarity in feedback caused confusion and anxiety, reinforcing the importance of timely, transparent communication (Teye &amp; Quarshie, 2020). Prior studies affirm that structured, prompt, and constructive feedback is essential in educational decision-making. For example, a study at Majmaah University found that 67.8% of students were dissatisfied due to insufficient feedback, negatively affecting their learning experiences (Alsaleem et al., 2018). Moreover, research by Ajjawi et al. (2024) emphasized how fragmented feedback forces students to self-interpret their academic standing, increasing uncertainty. Agyekum and Yeboah (2024) also highlighted that diverse and timely feedback strategies significantly improve student learning outcomes, particularly in high-stakes contexts such as placement and assessment.</w:t>
      </w:r>
    </w:p>
    <w:p w14:paraId="46E915D7"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bCs/>
          <w:sz w:val="24"/>
          <w:szCs w:val="24"/>
        </w:rPr>
        <w:t>Data utilization</w:t>
      </w:r>
      <w:r w:rsidRPr="00BC5B91">
        <w:rPr>
          <w:rFonts w:ascii="Times New Roman" w:eastAsia="Times New Roman" w:hAnsi="Times New Roman" w:cs="Times New Roman"/>
          <w:sz w:val="24"/>
          <w:szCs w:val="24"/>
        </w:rPr>
        <w:t xml:space="preserve">, referring to how student co-curricular activities and interests are incorporated into placement, also had a significant impact (β = .108, p = .003), supporting </w:t>
      </w:r>
      <w:r w:rsidRPr="00BC5B91">
        <w:rPr>
          <w:rFonts w:ascii="Times New Roman" w:eastAsia="Times New Roman" w:hAnsi="Times New Roman" w:cs="Times New Roman"/>
          <w:bCs/>
          <w:sz w:val="24"/>
          <w:szCs w:val="24"/>
        </w:rPr>
        <w:t>H2</w:t>
      </w:r>
      <w:r w:rsidRPr="00BC5B91">
        <w:rPr>
          <w:rFonts w:ascii="Times New Roman" w:eastAsia="Times New Roman" w:hAnsi="Times New Roman" w:cs="Times New Roman"/>
          <w:sz w:val="24"/>
          <w:szCs w:val="24"/>
        </w:rPr>
        <w:t>. This suggests that a more holistic, multi-criteria approach to placement beyond academics alone can enhance students’ engagement and satisfaction with the process. Research by Mensah and Frempong (2022) similarly highlights the value of including student interests in educational decision-making.</w:t>
      </w:r>
    </w:p>
    <w:p w14:paraId="76F7B590"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sz w:val="24"/>
          <w:szCs w:val="24"/>
        </w:rPr>
        <w:lastRenderedPageBreak/>
        <w:t>Prior research supports this, showing that incorporating students' interests and non-academic strengths can improve educational engagement and outcomes. For example, Wang and Degol (2016) emphasized the importance of interest congruence in educational pathways, highlighting how alignment between student interests and learning environments fosters motivation and success. Similarly, Niu (2017) found that students' participation in co-curricular activities contributes significantly to their cognitive and social development, which can positively influence their satisfaction with placement decisions. These studies affirm that factoring in student interests and broader developmental experiences enhances the effectiveness of school placement systems.</w:t>
      </w:r>
    </w:p>
    <w:p w14:paraId="17FD5B10"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b/>
          <w:sz w:val="24"/>
          <w:szCs w:val="24"/>
        </w:rPr>
      </w:pPr>
      <w:r w:rsidRPr="00BC5B91">
        <w:rPr>
          <w:rFonts w:ascii="Times New Roman" w:eastAsia="Times New Roman" w:hAnsi="Times New Roman" w:cs="Times New Roman"/>
          <w:sz w:val="24"/>
          <w:szCs w:val="24"/>
        </w:rPr>
        <w:t xml:space="preserve">The significance of the </w:t>
      </w:r>
      <w:r w:rsidRPr="00BC5B91">
        <w:rPr>
          <w:rFonts w:ascii="Times New Roman" w:eastAsia="Times New Roman" w:hAnsi="Times New Roman" w:cs="Times New Roman"/>
          <w:bCs/>
          <w:sz w:val="24"/>
          <w:szCs w:val="24"/>
        </w:rPr>
        <w:t>decentralized process</w:t>
      </w:r>
      <w:r w:rsidRPr="00BC5B91">
        <w:rPr>
          <w:rFonts w:ascii="Times New Roman" w:eastAsia="Times New Roman" w:hAnsi="Times New Roman" w:cs="Times New Roman"/>
          <w:sz w:val="24"/>
          <w:szCs w:val="24"/>
        </w:rPr>
        <w:t xml:space="preserve"> (β = .090, p = .009) affirms </w:t>
      </w:r>
      <w:r w:rsidRPr="00BC5B91">
        <w:rPr>
          <w:rFonts w:ascii="Times New Roman" w:eastAsia="Times New Roman" w:hAnsi="Times New Roman" w:cs="Times New Roman"/>
          <w:bCs/>
          <w:sz w:val="24"/>
          <w:szCs w:val="24"/>
        </w:rPr>
        <w:t>H5</w:t>
      </w:r>
      <w:r w:rsidRPr="00BC5B91">
        <w:rPr>
          <w:rFonts w:ascii="Times New Roman" w:eastAsia="Times New Roman" w:hAnsi="Times New Roman" w:cs="Times New Roman"/>
          <w:sz w:val="24"/>
          <w:szCs w:val="24"/>
        </w:rPr>
        <w:t>, which hypothesized that a decentralized yet coordinated school placement model would improve enrollment outcomes.</w:t>
      </w:r>
      <w:r w:rsidRPr="00BC5B91">
        <w:t xml:space="preserve"> </w:t>
      </w:r>
      <w:r w:rsidRPr="00BC5B91">
        <w:rPr>
          <w:rFonts w:ascii="Times New Roman" w:eastAsia="Times New Roman" w:hAnsi="Times New Roman" w:cs="Times New Roman"/>
          <w:sz w:val="24"/>
          <w:szCs w:val="24"/>
        </w:rPr>
        <w:t>This finding aligns with prior research indicating that decentralization in educational management can lead to enhanced student enrollment and achievement. For instance, a study by Elacqua et al. (2021) in Colombia found that municipalities granted autonomy in education administration experienced improvements in school enrollment and student performance, partly due to better resource allocation and higher-quality teacher recruitment. Similarly, research by Kyeremeh and Kor (2022) in Ghana demonstrated that decentralized educational management positively influenced teacher motivation and discipline, contributing to improved educational outcomes. These studies suggest that decentralization, when effectively implemented, can enhance the responsiveness and efficiency of educational systems, leading to better enrollment outcomes (Carr-Hill, 2013; Faguet &amp; Sánchez, 2008; Upadhyay &amp; Rajasekhar</w:t>
      </w:r>
      <w:r>
        <w:rPr>
          <w:rFonts w:ascii="Times New Roman" w:eastAsia="Times New Roman" w:hAnsi="Times New Roman" w:cs="Times New Roman"/>
          <w:sz w:val="24"/>
          <w:szCs w:val="24"/>
        </w:rPr>
        <w:t>,</w:t>
      </w:r>
      <w:r w:rsidRPr="00BC5B91">
        <w:rPr>
          <w:rFonts w:ascii="Times New Roman" w:eastAsia="Times New Roman" w:hAnsi="Times New Roman" w:cs="Times New Roman"/>
          <w:sz w:val="24"/>
          <w:szCs w:val="24"/>
        </w:rPr>
        <w:t xml:space="preserve"> 2023).  While CSSPS is highly centralized, the results indicate that introducing more localized decision-making, while maintaining national standards, could increase responsiveness to students' unique contexts (Bawa &amp; Sule, 2021).</w:t>
      </w:r>
    </w:p>
    <w:p w14:paraId="6D9B3121"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bCs/>
          <w:sz w:val="24"/>
          <w:szCs w:val="24"/>
        </w:rPr>
        <w:t>School preference consideration</w:t>
      </w:r>
      <w:r w:rsidRPr="00BC5B91">
        <w:rPr>
          <w:rFonts w:ascii="Times New Roman" w:eastAsia="Times New Roman" w:hAnsi="Times New Roman" w:cs="Times New Roman"/>
          <w:sz w:val="24"/>
          <w:szCs w:val="24"/>
        </w:rPr>
        <w:t xml:space="preserve"> also had a significant effect (β = .151, p = .007), lending support to </w:t>
      </w:r>
      <w:r w:rsidRPr="00BC5B91">
        <w:rPr>
          <w:rFonts w:ascii="Times New Roman" w:eastAsia="Times New Roman" w:hAnsi="Times New Roman" w:cs="Times New Roman"/>
          <w:bCs/>
          <w:sz w:val="24"/>
          <w:szCs w:val="24"/>
        </w:rPr>
        <w:t>H4</w:t>
      </w:r>
      <w:r w:rsidRPr="00BC5B91">
        <w:rPr>
          <w:rFonts w:ascii="Times New Roman" w:eastAsia="Times New Roman" w:hAnsi="Times New Roman" w:cs="Times New Roman"/>
          <w:sz w:val="24"/>
          <w:szCs w:val="24"/>
        </w:rPr>
        <w:t>, which emphasized the use of iterative algorithms that account for student preferences. The current one-time placement approach limits flexibility and can lead to dissatisfaction when students are denied their top choices. Iterative placement systems, which allow multiple rounds or adjustments, have been effective in other school matching systems globally (Gale &amp; Shapley, 1962; Abdulkadiroğlu et al., 2005).</w:t>
      </w:r>
    </w:p>
    <w:p w14:paraId="63D9CD0C" w14:textId="57F3DDC5"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sz w:val="24"/>
          <w:szCs w:val="24"/>
        </w:rPr>
        <w:t xml:space="preserve">Finally, the significance of the </w:t>
      </w:r>
      <w:r w:rsidRPr="00BC5B91">
        <w:rPr>
          <w:rFonts w:ascii="Times New Roman" w:eastAsia="Times New Roman" w:hAnsi="Times New Roman" w:cs="Times New Roman"/>
          <w:bCs/>
          <w:sz w:val="24"/>
          <w:szCs w:val="24"/>
        </w:rPr>
        <w:t>30% Category A placement policy</w:t>
      </w:r>
      <w:r w:rsidRPr="00BC5B91">
        <w:rPr>
          <w:rFonts w:ascii="Times New Roman" w:eastAsia="Times New Roman" w:hAnsi="Times New Roman" w:cs="Times New Roman"/>
          <w:sz w:val="24"/>
          <w:szCs w:val="24"/>
        </w:rPr>
        <w:t xml:space="preserve"> for public JHS students (β = .099, p = .023) supports </w:t>
      </w:r>
      <w:r w:rsidRPr="00BC5B91">
        <w:rPr>
          <w:rFonts w:ascii="Times New Roman" w:eastAsia="Times New Roman" w:hAnsi="Times New Roman" w:cs="Times New Roman"/>
          <w:bCs/>
          <w:sz w:val="24"/>
          <w:szCs w:val="24"/>
        </w:rPr>
        <w:t>H1</w:t>
      </w:r>
      <w:r w:rsidRPr="00BC5B91">
        <w:rPr>
          <w:rFonts w:ascii="Times New Roman" w:eastAsia="Times New Roman" w:hAnsi="Times New Roman" w:cs="Times New Roman"/>
          <w:sz w:val="24"/>
          <w:szCs w:val="24"/>
        </w:rPr>
        <w:t>. While the policy aims to promote equity, the findings suggest it may be viewed by some as disadvantaging private school students, thereby reducing perceptions of fairness. Agyemang (2022) and Boateng and Abrokwa (2023) emphasize that policies intended to promote equity must be transparent and inclusive to maintain trust and effectiveness.</w:t>
      </w:r>
    </w:p>
    <w:p w14:paraId="359C1E86" w14:textId="77777777" w:rsidR="006D66CE" w:rsidRPr="00BC5B91" w:rsidRDefault="006D66CE" w:rsidP="00AD148D">
      <w:pPr>
        <w:spacing w:before="100" w:beforeAutospacing="1" w:after="100" w:afterAutospacing="1" w:line="276" w:lineRule="auto"/>
        <w:jc w:val="both"/>
        <w:rPr>
          <w:rFonts w:ascii="Times New Roman" w:eastAsia="Times New Roman" w:hAnsi="Times New Roman" w:cs="Times New Roman"/>
          <w:sz w:val="24"/>
          <w:szCs w:val="24"/>
        </w:rPr>
      </w:pPr>
      <w:r w:rsidRPr="00BC5B91">
        <w:rPr>
          <w:rFonts w:ascii="Times New Roman" w:eastAsia="Times New Roman" w:hAnsi="Times New Roman" w:cs="Times New Roman"/>
          <w:sz w:val="24"/>
          <w:szCs w:val="24"/>
        </w:rPr>
        <w:t>In summary,</w:t>
      </w:r>
      <w:r>
        <w:rPr>
          <w:rFonts w:ascii="Times New Roman" w:eastAsia="Times New Roman" w:hAnsi="Times New Roman" w:cs="Times New Roman"/>
          <w:sz w:val="24"/>
          <w:szCs w:val="24"/>
        </w:rPr>
        <w:t xml:space="preserve"> all five hypotheses (</w:t>
      </w:r>
      <w:r w:rsidRPr="00BC5B91">
        <w:rPr>
          <w:rFonts w:ascii="Times New Roman" w:eastAsia="Times New Roman" w:hAnsi="Times New Roman" w:cs="Times New Roman"/>
          <w:sz w:val="24"/>
          <w:szCs w:val="24"/>
        </w:rPr>
        <w:t xml:space="preserve">H1–H5) were supported by the data, underscoring that enhancements in feedback mechanisms, preference consideration, data integration, decentralized processes, and policy adjustments could significantly improve the CSSPS and enrollment success. </w:t>
      </w:r>
      <w:r w:rsidRPr="00BC5B91">
        <w:rPr>
          <w:rFonts w:ascii="Times New Roman" w:eastAsia="Times New Roman" w:hAnsi="Times New Roman" w:cs="Times New Roman"/>
          <w:sz w:val="24"/>
          <w:szCs w:val="24"/>
        </w:rPr>
        <w:lastRenderedPageBreak/>
        <w:t>Future research should explore these dimensions further through longitudinal and mixed-method studies to assess both immediate and lasting impacts of proposed reforms.</w:t>
      </w:r>
    </w:p>
    <w:p w14:paraId="7B373501" w14:textId="77777777" w:rsidR="00727F6F" w:rsidRPr="004524A3" w:rsidRDefault="00727F6F" w:rsidP="00AD148D">
      <w:pPr>
        <w:spacing w:after="100" w:afterAutospacing="1" w:line="480" w:lineRule="auto"/>
        <w:ind w:left="360"/>
        <w:jc w:val="both"/>
        <w:rPr>
          <w:rFonts w:ascii="Times New Roman" w:eastAsia="Calibri" w:hAnsi="Times New Roman" w:cs="Times New Roman"/>
          <w:b/>
          <w:color w:val="0D0D0D"/>
          <w:sz w:val="24"/>
          <w:lang w:val="en-GB"/>
        </w:rPr>
      </w:pPr>
      <w:r w:rsidRPr="004524A3">
        <w:rPr>
          <w:rFonts w:ascii="Times New Roman" w:eastAsia="Calibri" w:hAnsi="Times New Roman" w:cs="Times New Roman"/>
          <w:b/>
          <w:color w:val="0D0D0D"/>
          <w:sz w:val="24"/>
          <w:lang w:val="en-GB"/>
        </w:rPr>
        <w:t>Conclusion</w:t>
      </w:r>
    </w:p>
    <w:p w14:paraId="0FF97488" w14:textId="77777777" w:rsidR="009D58EC" w:rsidRPr="004524A3" w:rsidRDefault="009D58EC" w:rsidP="00AD148D">
      <w:pPr>
        <w:spacing w:after="100" w:afterAutospacing="1" w:line="240" w:lineRule="auto"/>
        <w:jc w:val="both"/>
        <w:rPr>
          <w:rFonts w:ascii="Times New Roman" w:eastAsia="Calibri" w:hAnsi="Times New Roman" w:cs="Times New Roman"/>
          <w:bCs/>
          <w:color w:val="0D0D0D"/>
          <w:sz w:val="24"/>
        </w:rPr>
      </w:pPr>
      <w:r w:rsidRPr="004524A3">
        <w:rPr>
          <w:rFonts w:ascii="Times New Roman" w:eastAsia="Calibri" w:hAnsi="Times New Roman" w:cs="Times New Roman"/>
          <w:bCs/>
          <w:color w:val="0D0D0D"/>
          <w:sz w:val="24"/>
        </w:rPr>
        <w:t>This study examined students’ perceptions of enrollment success and their experiences with the Computerized School Selection and Placement System (CSSPS) in Ghana. Key findings highlight significant concerns related to the inefficiency of feedback mechanisms, limited data utilization (especially regarding student interests and co-curricular engagement), the centralized nature of the placement process, inadequate consideration of student preferences, and the perceived unfairness of the 30% Category A school priority policy.</w:t>
      </w:r>
    </w:p>
    <w:p w14:paraId="6FF840F9" w14:textId="77777777" w:rsidR="009D58EC" w:rsidRPr="004524A3" w:rsidRDefault="009D58EC" w:rsidP="00AD148D">
      <w:pPr>
        <w:spacing w:after="100" w:afterAutospacing="1" w:line="240" w:lineRule="auto"/>
        <w:jc w:val="both"/>
        <w:rPr>
          <w:rFonts w:ascii="Times New Roman" w:eastAsia="Calibri" w:hAnsi="Times New Roman" w:cs="Times New Roman"/>
          <w:bCs/>
          <w:color w:val="0D0D0D"/>
          <w:sz w:val="24"/>
        </w:rPr>
      </w:pPr>
      <w:r w:rsidRPr="004524A3">
        <w:rPr>
          <w:rFonts w:ascii="Times New Roman" w:eastAsia="Calibri" w:hAnsi="Times New Roman" w:cs="Times New Roman"/>
          <w:bCs/>
          <w:color w:val="0D0D0D"/>
          <w:sz w:val="24"/>
        </w:rPr>
        <w:t>These findings are significant because they suggest that the current structure of the CSSPS may not fully align with students’ needs and expectations, potentially affecting their satisfaction and success in the school placement process. The study underscores the importance of a more transparent, decentralized, and student-centered placement model that integrates real-time feedback, considers students’ holistic profiles, and allows flexibility in preference matching.</w:t>
      </w:r>
    </w:p>
    <w:p w14:paraId="21E179CF" w14:textId="77777777" w:rsidR="009D58EC" w:rsidRPr="004524A3" w:rsidRDefault="009D58EC" w:rsidP="00AD148D">
      <w:pPr>
        <w:spacing w:after="100" w:afterAutospacing="1" w:line="240" w:lineRule="auto"/>
        <w:jc w:val="both"/>
        <w:rPr>
          <w:rFonts w:ascii="Times New Roman" w:eastAsia="Calibri" w:hAnsi="Times New Roman" w:cs="Times New Roman"/>
          <w:bCs/>
          <w:color w:val="0D0D0D"/>
          <w:sz w:val="24"/>
        </w:rPr>
      </w:pPr>
      <w:r w:rsidRPr="004524A3">
        <w:rPr>
          <w:rFonts w:ascii="Times New Roman" w:eastAsia="Calibri" w:hAnsi="Times New Roman" w:cs="Times New Roman"/>
          <w:bCs/>
          <w:color w:val="0D0D0D"/>
          <w:sz w:val="24"/>
        </w:rPr>
        <w:t>Given the implications of these insights, it is recommended that policymakers consider a reform of the CSSPS framework by piloting iterative, data-informed, and feedback-driven placement approaches. Future research could explore these proposed changes in real-world implementations to evaluate their impact on equity, efficiency, and enrollment outcomes across diverse student populations.</w:t>
      </w:r>
    </w:p>
    <w:p w14:paraId="620ABCA9" w14:textId="77777777" w:rsidR="00791E7F" w:rsidRPr="004524A3" w:rsidRDefault="00791E7F" w:rsidP="00AD148D">
      <w:pPr>
        <w:spacing w:after="100" w:afterAutospacing="1" w:line="240" w:lineRule="auto"/>
        <w:jc w:val="both"/>
        <w:rPr>
          <w:rFonts w:ascii="Times New Roman" w:eastAsia="Calibri" w:hAnsi="Times New Roman" w:cs="Times New Roman"/>
          <w:b/>
          <w:color w:val="0D0D0D"/>
          <w:sz w:val="24"/>
          <w:lang w:val="en-GB"/>
        </w:rPr>
      </w:pPr>
      <w:r w:rsidRPr="004524A3">
        <w:rPr>
          <w:rFonts w:ascii="Times New Roman" w:eastAsia="Calibri" w:hAnsi="Times New Roman" w:cs="Times New Roman"/>
          <w:b/>
          <w:color w:val="0D0D0D"/>
          <w:sz w:val="24"/>
          <w:lang w:val="en-GB"/>
        </w:rPr>
        <w:t>Recommendations</w:t>
      </w:r>
    </w:p>
    <w:p w14:paraId="50F47DA7" w14:textId="77777777" w:rsidR="00791E7F" w:rsidRPr="004524A3" w:rsidRDefault="00791E7F" w:rsidP="00AD148D">
      <w:pPr>
        <w:spacing w:after="100" w:afterAutospacing="1" w:line="240" w:lineRule="auto"/>
        <w:jc w:val="both"/>
        <w:rPr>
          <w:rFonts w:ascii="Times New Roman" w:eastAsia="Calibri" w:hAnsi="Times New Roman" w:cs="Times New Roman"/>
          <w:color w:val="0D0D0D"/>
          <w:sz w:val="24"/>
          <w:lang w:val="en-GB"/>
        </w:rPr>
      </w:pPr>
      <w:r w:rsidRPr="004524A3">
        <w:rPr>
          <w:rFonts w:ascii="Times New Roman" w:eastAsia="Calibri" w:hAnsi="Times New Roman" w:cs="Times New Roman"/>
          <w:color w:val="0D0D0D"/>
          <w:sz w:val="24"/>
          <w:lang w:val="en-GB"/>
        </w:rPr>
        <w:t>The findings of this study reveal persistent challenges within the CSSPS, particularly concerning fairness, efficiency, and student satisfaction. Key factors such as feedback clarity, data utilization, decentralized processes, school preference, and Category ‘A’ school denial significantly influence enrolment success. These issues highlight the limitations of the current placement system, which, if unaddressed, may continue to hinder equitable access to Senior High School education.</w:t>
      </w:r>
    </w:p>
    <w:p w14:paraId="4E855CD7" w14:textId="77777777" w:rsidR="00791E7F" w:rsidRPr="004524A3" w:rsidRDefault="00791E7F" w:rsidP="00AD148D">
      <w:pPr>
        <w:spacing w:after="100" w:afterAutospacing="1" w:line="240" w:lineRule="auto"/>
        <w:jc w:val="both"/>
        <w:rPr>
          <w:rFonts w:ascii="Times New Roman" w:eastAsia="Calibri" w:hAnsi="Times New Roman" w:cs="Times New Roman"/>
          <w:color w:val="0D0D0D"/>
          <w:sz w:val="24"/>
          <w:lang w:val="en-GB"/>
        </w:rPr>
      </w:pPr>
      <w:r w:rsidRPr="004524A3">
        <w:rPr>
          <w:rFonts w:ascii="Times New Roman" w:eastAsia="Calibri" w:hAnsi="Times New Roman" w:cs="Times New Roman"/>
          <w:color w:val="0D0D0D"/>
          <w:sz w:val="24"/>
          <w:lang w:val="en-GB"/>
        </w:rPr>
        <w:t xml:space="preserve">To mitigate these challenges, this study </w:t>
      </w:r>
      <w:r w:rsidR="00196DB0" w:rsidRPr="004524A3">
        <w:rPr>
          <w:rFonts w:ascii="Times New Roman" w:eastAsia="Calibri" w:hAnsi="Times New Roman" w:cs="Times New Roman"/>
          <w:color w:val="0D0D0D"/>
          <w:sz w:val="24"/>
          <w:lang w:val="en-GB"/>
        </w:rPr>
        <w:t xml:space="preserve">recommends the operationalization of a newly </w:t>
      </w:r>
      <w:r w:rsidRPr="004524A3">
        <w:rPr>
          <w:rFonts w:ascii="Times New Roman" w:eastAsia="Calibri" w:hAnsi="Times New Roman" w:cs="Times New Roman"/>
          <w:color w:val="0D0D0D"/>
          <w:sz w:val="24"/>
          <w:lang w:val="en-GB"/>
        </w:rPr>
        <w:t>propose</w:t>
      </w:r>
      <w:r w:rsidR="00196DB0" w:rsidRPr="004524A3">
        <w:rPr>
          <w:rFonts w:ascii="Times New Roman" w:eastAsia="Calibri" w:hAnsi="Times New Roman" w:cs="Times New Roman"/>
          <w:color w:val="0D0D0D"/>
          <w:sz w:val="24"/>
          <w:lang w:val="en-GB"/>
        </w:rPr>
        <w:t>d</w:t>
      </w:r>
      <w:r w:rsidRPr="004524A3">
        <w:rPr>
          <w:rFonts w:ascii="Times New Roman" w:eastAsia="Calibri" w:hAnsi="Times New Roman" w:cs="Times New Roman"/>
          <w:color w:val="0D0D0D"/>
          <w:sz w:val="24"/>
          <w:lang w:val="en-GB"/>
        </w:rPr>
        <w:t xml:space="preserve"> framework aimed at improving the placement process by enhancing transparency, responsiveness, and inclusivity. This framework builds on key insights from the findings, advocating for policy adjustments such as revising the 30% priority placement rule, implementing a multi-criteria placement system that considers students’ interests and co-curricular activities, integrating real-time feedback mechanisms, and adopting an iterative algorithm that allows students to refine their choices. Additionally, a decentralized yet coordinated model is proposed to improve accessibility and efficiency in placement decision-making. By addressing these challenges, the proposed framework serves as a strategic model for optimizing the CSSPS to ensure fairer, more effective school placements. The following section presents the framework in detail, outlining its components and how it can be applied in practice to enhance enrolment success.</w:t>
      </w:r>
    </w:p>
    <w:p w14:paraId="6D41A5A6" w14:textId="77777777" w:rsidR="002F1F8D" w:rsidRPr="004524A3" w:rsidRDefault="002F1F8D"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Proposed Framework for CSSPS</w:t>
      </w:r>
    </w:p>
    <w:p w14:paraId="0A7CD302" w14:textId="01661A81" w:rsidR="00E333CD" w:rsidRPr="004524A3" w:rsidRDefault="00387A40"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lastRenderedPageBreak/>
        <w:t xml:space="preserve">This new framework </w:t>
      </w:r>
      <w:r w:rsidR="0029583A" w:rsidRPr="004524A3">
        <w:rPr>
          <w:rFonts w:ascii="Times New Roman" w:eastAsia="Times New Roman" w:hAnsi="Times New Roman" w:cs="Times New Roman"/>
          <w:sz w:val="24"/>
          <w:szCs w:val="24"/>
        </w:rPr>
        <w:t>(see figure 5</w:t>
      </w:r>
      <w:r w:rsidRPr="004524A3">
        <w:rPr>
          <w:rFonts w:ascii="Times New Roman" w:eastAsia="Times New Roman" w:hAnsi="Times New Roman" w:cs="Times New Roman"/>
          <w:sz w:val="24"/>
          <w:szCs w:val="24"/>
        </w:rPr>
        <w:t xml:space="preserve">) enhances CSSPS by introducing a multi-factor placement model that integrates student interests, skills, and extracurricular achievements alongside academic scores. Additionally, it adopts a Deferred Acceptance Algorithm (DAA) for optimized placement and incorporates a decentralized system with </w:t>
      </w:r>
      <w:r w:rsidR="00B76EED">
        <w:rPr>
          <w:rFonts w:ascii="Times New Roman" w:eastAsia="Times New Roman" w:hAnsi="Times New Roman" w:cs="Times New Roman"/>
          <w:sz w:val="24"/>
          <w:szCs w:val="24"/>
        </w:rPr>
        <w:t xml:space="preserve">a </w:t>
      </w:r>
      <w:r w:rsidRPr="004524A3">
        <w:rPr>
          <w:rFonts w:ascii="Times New Roman" w:eastAsia="Times New Roman" w:hAnsi="Times New Roman" w:cs="Times New Roman"/>
          <w:sz w:val="24"/>
          <w:szCs w:val="24"/>
        </w:rPr>
        <w:t>feedback mechanism to handle grievances efficiently.</w:t>
      </w:r>
    </w:p>
    <w:p w14:paraId="71B7B762" w14:textId="77777777" w:rsidR="00E333CD" w:rsidRPr="004524A3" w:rsidRDefault="00E333CD" w:rsidP="00AD148D">
      <w:pPr>
        <w:jc w:val="both"/>
        <w:rPr>
          <w:rFonts w:ascii="Times New Roman" w:eastAsia="Times New Roman" w:hAnsi="Times New Roman" w:cs="Times New Roman"/>
          <w:sz w:val="24"/>
          <w:szCs w:val="24"/>
        </w:rPr>
      </w:pPr>
    </w:p>
    <w:p w14:paraId="30032BA1" w14:textId="77777777" w:rsidR="00E32E0C" w:rsidRPr="004524A3" w:rsidRDefault="004C5387"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noProof/>
          <w:sz w:val="24"/>
          <w:szCs w:val="24"/>
        </w:rPr>
        <w:drawing>
          <wp:inline distT="0" distB="0" distL="0" distR="0" wp14:anchorId="03DF58C1" wp14:editId="443ECD90">
            <wp:extent cx="6267450" cy="36858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340).png"/>
                    <pic:cNvPicPr/>
                  </pic:nvPicPr>
                  <pic:blipFill>
                    <a:blip r:embed="rId11">
                      <a:extLst>
                        <a:ext uri="{28A0092B-C50C-407E-A947-70E740481C1C}">
                          <a14:useLocalDpi xmlns:a14="http://schemas.microsoft.com/office/drawing/2010/main" val="0"/>
                        </a:ext>
                      </a:extLst>
                    </a:blip>
                    <a:stretch>
                      <a:fillRect/>
                    </a:stretch>
                  </pic:blipFill>
                  <pic:spPr>
                    <a:xfrm>
                      <a:off x="0" y="0"/>
                      <a:ext cx="6290045" cy="3699135"/>
                    </a:xfrm>
                    <a:prstGeom prst="rect">
                      <a:avLst/>
                    </a:prstGeom>
                  </pic:spPr>
                </pic:pic>
              </a:graphicData>
            </a:graphic>
          </wp:inline>
        </w:drawing>
      </w:r>
    </w:p>
    <w:p w14:paraId="04AD913D" w14:textId="77777777" w:rsidR="00387A40" w:rsidRPr="004524A3" w:rsidRDefault="00387A40" w:rsidP="00AD148D">
      <w:pPr>
        <w:jc w:val="both"/>
        <w:rPr>
          <w:rFonts w:ascii="Times New Roman" w:eastAsia="Times New Roman" w:hAnsi="Times New Roman" w:cs="Times New Roman"/>
          <w:sz w:val="24"/>
          <w:szCs w:val="24"/>
        </w:rPr>
      </w:pPr>
    </w:p>
    <w:p w14:paraId="11A98B28" w14:textId="77777777" w:rsidR="00387A40" w:rsidRPr="004524A3" w:rsidRDefault="00387A40" w:rsidP="00AD148D">
      <w:pPr>
        <w:jc w:val="both"/>
        <w:rPr>
          <w:rFonts w:ascii="Times New Roman" w:eastAsia="Times New Roman" w:hAnsi="Times New Roman" w:cs="Times New Roman"/>
          <w:sz w:val="24"/>
          <w:szCs w:val="24"/>
        </w:rPr>
      </w:pPr>
    </w:p>
    <w:p w14:paraId="304C47A3" w14:textId="77777777" w:rsidR="00387A40" w:rsidRPr="004524A3" w:rsidRDefault="0029583A"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Figure 5</w:t>
      </w:r>
      <w:r w:rsidR="00387A40" w:rsidRPr="004524A3">
        <w:rPr>
          <w:rFonts w:ascii="Times New Roman" w:eastAsia="Times New Roman" w:hAnsi="Times New Roman" w:cs="Times New Roman"/>
          <w:sz w:val="24"/>
          <w:szCs w:val="24"/>
        </w:rPr>
        <w:t xml:space="preserve">. Proposed framework to curtail efficacy and equity challenges of CSSPS  </w:t>
      </w:r>
    </w:p>
    <w:p w14:paraId="79650457" w14:textId="45138547" w:rsidR="00387A40" w:rsidRPr="004524A3" w:rsidRDefault="00387A40"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Source: Author</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s Construction</w:t>
      </w:r>
    </w:p>
    <w:p w14:paraId="33646C6D" w14:textId="77777777" w:rsidR="00C84840" w:rsidRPr="004524A3" w:rsidRDefault="00C84840" w:rsidP="00AD148D">
      <w:pPr>
        <w:jc w:val="both"/>
        <w:rPr>
          <w:rFonts w:ascii="Times New Roman" w:eastAsia="Times New Roman" w:hAnsi="Times New Roman" w:cs="Times New Roman"/>
          <w:sz w:val="24"/>
          <w:szCs w:val="24"/>
        </w:rPr>
      </w:pPr>
    </w:p>
    <w:p w14:paraId="2EA05DF3" w14:textId="77777777" w:rsidR="00C84840" w:rsidRPr="004524A3" w:rsidRDefault="00C84840" w:rsidP="00AD148D">
      <w:pPr>
        <w:jc w:val="both"/>
        <w:rPr>
          <w:rFonts w:ascii="Times New Roman" w:eastAsia="Times New Roman" w:hAnsi="Times New Roman" w:cs="Times New Roman"/>
          <w:b/>
          <w:bCs/>
          <w:sz w:val="24"/>
          <w:szCs w:val="24"/>
        </w:rPr>
      </w:pPr>
      <w:r w:rsidRPr="004524A3">
        <w:rPr>
          <w:rFonts w:ascii="Times New Roman" w:eastAsia="Times New Roman" w:hAnsi="Times New Roman" w:cs="Times New Roman"/>
          <w:b/>
          <w:bCs/>
          <w:sz w:val="24"/>
          <w:szCs w:val="24"/>
        </w:rPr>
        <w:t>Enhanced CSSPS Framework for Equitable and Efficient School Placement</w:t>
      </w:r>
    </w:p>
    <w:p w14:paraId="3028237E" w14:textId="77777777" w:rsidR="00C84840" w:rsidRPr="004524A3" w:rsidRDefault="00C84840"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The findings of this study reveal significant challenges in the current Computerized School Selection and Placement System (CSSPS), particularly in terms of fairness, efficiency, and student satisfaction. Issues such as lack of transparency, limited consideration of student interests, and inadequate feedback mechanisms contribute to placement inefficiencies. The proposed </w:t>
      </w:r>
      <w:r w:rsidRPr="004524A3">
        <w:rPr>
          <w:rFonts w:ascii="Times New Roman" w:eastAsia="Times New Roman" w:hAnsi="Times New Roman" w:cs="Times New Roman"/>
          <w:bCs/>
          <w:sz w:val="24"/>
          <w:szCs w:val="24"/>
        </w:rPr>
        <w:t>Enhanced CSSPS Framework</w:t>
      </w:r>
      <w:r w:rsidRPr="004524A3">
        <w:rPr>
          <w:rFonts w:ascii="Times New Roman" w:eastAsia="Times New Roman" w:hAnsi="Times New Roman" w:cs="Times New Roman"/>
          <w:sz w:val="24"/>
          <w:szCs w:val="24"/>
        </w:rPr>
        <w:t xml:space="preserve"> aims to address these challenges by incorporating a </w:t>
      </w:r>
      <w:r w:rsidRPr="004524A3">
        <w:rPr>
          <w:rFonts w:ascii="Times New Roman" w:eastAsia="Times New Roman" w:hAnsi="Times New Roman" w:cs="Times New Roman"/>
          <w:bCs/>
          <w:sz w:val="24"/>
          <w:szCs w:val="24"/>
        </w:rPr>
        <w:t xml:space="preserve">holistic assessment approach, iterative placement mechanisms, decentralized decision-making, and a robust feedback </w:t>
      </w:r>
      <w:r w:rsidRPr="004524A3">
        <w:rPr>
          <w:rFonts w:ascii="Times New Roman" w:eastAsia="Times New Roman" w:hAnsi="Times New Roman" w:cs="Times New Roman"/>
          <w:bCs/>
          <w:sz w:val="24"/>
          <w:szCs w:val="24"/>
        </w:rPr>
        <w:lastRenderedPageBreak/>
        <w:t>system</w:t>
      </w:r>
      <w:r w:rsidRPr="004524A3">
        <w:rPr>
          <w:rFonts w:ascii="Times New Roman" w:eastAsia="Times New Roman" w:hAnsi="Times New Roman" w:cs="Times New Roman"/>
          <w:sz w:val="24"/>
          <w:szCs w:val="24"/>
        </w:rPr>
        <w:t xml:space="preserve">. This framework ensures that student placements are </w:t>
      </w:r>
      <w:r w:rsidRPr="004524A3">
        <w:rPr>
          <w:rFonts w:ascii="Times New Roman" w:eastAsia="Times New Roman" w:hAnsi="Times New Roman" w:cs="Times New Roman"/>
          <w:bCs/>
          <w:sz w:val="24"/>
          <w:szCs w:val="24"/>
        </w:rPr>
        <w:t>more transparent, responsive, and aligned with individual aspirations</w:t>
      </w:r>
      <w:r w:rsidRPr="004524A3">
        <w:rPr>
          <w:rFonts w:ascii="Times New Roman" w:eastAsia="Times New Roman" w:hAnsi="Times New Roman" w:cs="Times New Roman"/>
          <w:sz w:val="24"/>
          <w:szCs w:val="24"/>
        </w:rPr>
        <w:t>, ultimately improving enrolment success rates.</w:t>
      </w:r>
    </w:p>
    <w:p w14:paraId="0EE6704B" w14:textId="77777777" w:rsidR="00C84840" w:rsidRPr="004524A3" w:rsidRDefault="00C84840" w:rsidP="00AD148D">
      <w:pPr>
        <w:jc w:val="both"/>
        <w:rPr>
          <w:rFonts w:ascii="Times New Roman" w:eastAsia="Times New Roman" w:hAnsi="Times New Roman" w:cs="Times New Roman"/>
          <w:b/>
          <w:bCs/>
          <w:sz w:val="24"/>
          <w:szCs w:val="24"/>
        </w:rPr>
      </w:pPr>
      <w:r w:rsidRPr="004524A3">
        <w:rPr>
          <w:rFonts w:ascii="Times New Roman" w:eastAsia="Times New Roman" w:hAnsi="Times New Roman" w:cs="Times New Roman"/>
          <w:b/>
          <w:bCs/>
          <w:sz w:val="24"/>
          <w:szCs w:val="24"/>
        </w:rPr>
        <w:t>Key Components of the Framework</w:t>
      </w:r>
    </w:p>
    <w:p w14:paraId="396EA6B8" w14:textId="77777777" w:rsidR="00052823" w:rsidRPr="004524A3" w:rsidRDefault="00052823"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The framework consists of five major components that work together to improve efficiency, fairness, and student satisfaction in school placements.</w:t>
      </w:r>
    </w:p>
    <w:p w14:paraId="64FEA088" w14:textId="77777777" w:rsidR="00052823" w:rsidRPr="004524A3" w:rsidRDefault="00052823" w:rsidP="00AD148D">
      <w:pPr>
        <w:jc w:val="both"/>
        <w:rPr>
          <w:rFonts w:ascii="Times New Roman" w:eastAsia="Times New Roman" w:hAnsi="Times New Roman" w:cs="Times New Roman"/>
          <w:sz w:val="24"/>
          <w:szCs w:val="24"/>
        </w:rPr>
      </w:pPr>
    </w:p>
    <w:p w14:paraId="17616A62" w14:textId="77777777" w:rsidR="00387A40" w:rsidRPr="004524A3" w:rsidRDefault="00052823"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sz w:val="24"/>
          <w:szCs w:val="24"/>
        </w:rPr>
        <w:t xml:space="preserve"> </w:t>
      </w:r>
      <w:r w:rsidRPr="004524A3">
        <w:rPr>
          <w:rFonts w:ascii="Times New Roman" w:eastAsia="Times New Roman" w:hAnsi="Times New Roman" w:cs="Times New Roman"/>
          <w:b/>
          <w:sz w:val="24"/>
          <w:szCs w:val="24"/>
        </w:rPr>
        <w:t>BECE Candidate</w:t>
      </w:r>
    </w:p>
    <w:p w14:paraId="0F3AF770" w14:textId="3415211E" w:rsidR="00B142EB" w:rsidRPr="004524A3" w:rsidRDefault="00A50AC6"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The BECE Candidate stage is the initial step in the Computerized School Selection and Placement System (CSSPS), where JHS students, with guidance from parents, teachers, and career counselors, make crucial decisions about their future education. Before taking the Basic Education Certificate Examination (BECE), students</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 xml:space="preserve"> per the new framework</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 xml:space="preserve"> will log on to the CSSPS to select their preferred Senior High Schools (SHS) and courses based on parental support, career aspirations, and advice from school counselors and teachers. Career counseling plays a vital role in this process by helping students identify their strengths, explore academic and vocational pathways, and align their choices with future career prospects. Once the selection is finalized, students sit for the BECE, which determines their academic score</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 xml:space="preserve"> conducted by WAEC. </w:t>
      </w:r>
    </w:p>
    <w:p w14:paraId="64334240" w14:textId="77777777" w:rsidR="002C09C1" w:rsidRPr="004524A3" w:rsidRDefault="002C09C1"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Why is this necessary?</w:t>
      </w:r>
    </w:p>
    <w:p w14:paraId="1D8184CB" w14:textId="77777777" w:rsidR="002C09C1" w:rsidRPr="004524A3" w:rsidRDefault="002C09C1" w:rsidP="00AD148D">
      <w:pPr>
        <w:numPr>
          <w:ilvl w:val="0"/>
          <w:numId w:val="10"/>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The current system </w:t>
      </w:r>
      <w:r w:rsidRPr="004524A3">
        <w:rPr>
          <w:rFonts w:ascii="Times New Roman" w:eastAsia="Times New Roman" w:hAnsi="Times New Roman" w:cs="Times New Roman"/>
          <w:bCs/>
          <w:sz w:val="24"/>
          <w:szCs w:val="24"/>
        </w:rPr>
        <w:t>relies solely on academic performance</w:t>
      </w:r>
      <w:r w:rsidRPr="004524A3">
        <w:rPr>
          <w:rFonts w:ascii="Times New Roman" w:eastAsia="Times New Roman" w:hAnsi="Times New Roman" w:cs="Times New Roman"/>
          <w:sz w:val="24"/>
          <w:szCs w:val="24"/>
        </w:rPr>
        <w:t>, often leading to placements that do not match students’ strengths or interests.</w:t>
      </w:r>
    </w:p>
    <w:p w14:paraId="0CD016AC" w14:textId="77777777" w:rsidR="002C09C1" w:rsidRPr="004524A3" w:rsidRDefault="002C09C1" w:rsidP="00AD148D">
      <w:pPr>
        <w:numPr>
          <w:ilvl w:val="0"/>
          <w:numId w:val="10"/>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Early career counseling and holistic school selection </w:t>
      </w:r>
      <w:r w:rsidRPr="004524A3">
        <w:rPr>
          <w:rFonts w:ascii="Times New Roman" w:eastAsia="Times New Roman" w:hAnsi="Times New Roman" w:cs="Times New Roman"/>
          <w:bCs/>
          <w:sz w:val="24"/>
          <w:szCs w:val="24"/>
        </w:rPr>
        <w:t>reduce post-placement dissatisfaction and dropout rates</w:t>
      </w:r>
      <w:r w:rsidRPr="004524A3">
        <w:rPr>
          <w:rFonts w:ascii="Times New Roman" w:eastAsia="Times New Roman" w:hAnsi="Times New Roman" w:cs="Times New Roman"/>
          <w:sz w:val="24"/>
          <w:szCs w:val="24"/>
        </w:rPr>
        <w:t>.</w:t>
      </w:r>
    </w:p>
    <w:p w14:paraId="26027D6F" w14:textId="77777777" w:rsidR="002C09C1" w:rsidRPr="004524A3" w:rsidRDefault="002C09C1" w:rsidP="00AD148D">
      <w:pPr>
        <w:jc w:val="both"/>
        <w:rPr>
          <w:rFonts w:ascii="Times New Roman" w:eastAsia="Times New Roman" w:hAnsi="Times New Roman" w:cs="Times New Roman"/>
          <w:sz w:val="24"/>
          <w:szCs w:val="24"/>
        </w:rPr>
      </w:pPr>
    </w:p>
    <w:p w14:paraId="4892C099" w14:textId="77777777" w:rsidR="00B142EB" w:rsidRPr="004524A3" w:rsidRDefault="00B142EB"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WAEC</w:t>
      </w:r>
    </w:p>
    <w:p w14:paraId="40F38D0A" w14:textId="4949F8C0" w:rsidR="00830D71" w:rsidRPr="004524A3" w:rsidRDefault="00DF3B7F"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WAEC i</w:t>
      </w:r>
      <w:r w:rsidR="00830D71" w:rsidRPr="004524A3">
        <w:rPr>
          <w:rFonts w:ascii="Times New Roman" w:eastAsia="Times New Roman" w:hAnsi="Times New Roman" w:cs="Times New Roman"/>
          <w:sz w:val="24"/>
          <w:szCs w:val="24"/>
        </w:rPr>
        <w:t>s responsible for organizing</w:t>
      </w:r>
      <w:r w:rsidRPr="004524A3">
        <w:rPr>
          <w:rFonts w:ascii="Times New Roman" w:eastAsia="Times New Roman" w:hAnsi="Times New Roman" w:cs="Times New Roman"/>
          <w:sz w:val="24"/>
          <w:szCs w:val="24"/>
        </w:rPr>
        <w:t xml:space="preserve"> </w:t>
      </w:r>
      <w:r w:rsidR="00B76EED">
        <w:rPr>
          <w:rFonts w:ascii="Times New Roman" w:eastAsia="Times New Roman" w:hAnsi="Times New Roman" w:cs="Times New Roman"/>
          <w:sz w:val="24"/>
          <w:szCs w:val="24"/>
        </w:rPr>
        <w:t xml:space="preserve">the </w:t>
      </w:r>
      <w:r w:rsidRPr="004524A3">
        <w:rPr>
          <w:rFonts w:ascii="Times New Roman" w:eastAsia="Times New Roman" w:hAnsi="Times New Roman" w:cs="Times New Roman"/>
          <w:bCs/>
          <w:sz w:val="24"/>
          <w:szCs w:val="24"/>
        </w:rPr>
        <w:t>Basic Education Certificate Examination (BECE)</w:t>
      </w:r>
      <w:r w:rsidRPr="004524A3">
        <w:rPr>
          <w:rFonts w:ascii="Times New Roman" w:eastAsia="Times New Roman" w:hAnsi="Times New Roman" w:cs="Times New Roman"/>
          <w:sz w:val="24"/>
          <w:szCs w:val="24"/>
        </w:rPr>
        <w:t xml:space="preserve">, which serves as the basis for student placement into </w:t>
      </w:r>
      <w:r w:rsidRPr="004524A3">
        <w:rPr>
          <w:rFonts w:ascii="Times New Roman" w:eastAsia="Times New Roman" w:hAnsi="Times New Roman" w:cs="Times New Roman"/>
          <w:bCs/>
          <w:sz w:val="24"/>
          <w:szCs w:val="24"/>
        </w:rPr>
        <w:t>Senior High Schools (SHSs), Technical Institutes, and Vocational Schools</w:t>
      </w:r>
      <w:r w:rsidRPr="004524A3">
        <w:rPr>
          <w:rFonts w:ascii="Times New Roman" w:eastAsia="Times New Roman" w:hAnsi="Times New Roman" w:cs="Times New Roman"/>
          <w:sz w:val="24"/>
          <w:szCs w:val="24"/>
        </w:rPr>
        <w:t xml:space="preserve">. After administering the BECE, WAEC marks and compiles the results, </w:t>
      </w:r>
      <w:r w:rsidR="00CB3DD8" w:rsidRPr="004524A3">
        <w:rPr>
          <w:rFonts w:ascii="Times New Roman" w:eastAsia="Times New Roman" w:hAnsi="Times New Roman" w:cs="Times New Roman"/>
          <w:sz w:val="24"/>
          <w:szCs w:val="24"/>
        </w:rPr>
        <w:t>and</w:t>
      </w:r>
      <w:r w:rsidRPr="004524A3">
        <w:rPr>
          <w:rFonts w:ascii="Times New Roman" w:eastAsia="Times New Roman" w:hAnsi="Times New Roman" w:cs="Times New Roman"/>
          <w:sz w:val="24"/>
          <w:szCs w:val="24"/>
        </w:rPr>
        <w:t xml:space="preserve"> sen</w:t>
      </w:r>
      <w:r w:rsidR="00B76EED">
        <w:rPr>
          <w:rFonts w:ascii="Times New Roman" w:eastAsia="Times New Roman" w:hAnsi="Times New Roman" w:cs="Times New Roman"/>
          <w:sz w:val="24"/>
          <w:szCs w:val="24"/>
        </w:rPr>
        <w:t>ds them</w:t>
      </w:r>
      <w:r w:rsidRPr="004524A3">
        <w:rPr>
          <w:rFonts w:ascii="Times New Roman" w:eastAsia="Times New Roman" w:hAnsi="Times New Roman" w:cs="Times New Roman"/>
          <w:sz w:val="24"/>
          <w:szCs w:val="24"/>
        </w:rPr>
        <w:t xml:space="preserve"> to the </w:t>
      </w:r>
      <w:r w:rsidRPr="004524A3">
        <w:rPr>
          <w:rFonts w:ascii="Times New Roman" w:eastAsia="Times New Roman" w:hAnsi="Times New Roman" w:cs="Times New Roman"/>
          <w:bCs/>
          <w:sz w:val="24"/>
          <w:szCs w:val="24"/>
        </w:rPr>
        <w:t>CSSPS unit</w:t>
      </w:r>
      <w:r w:rsidRPr="004524A3">
        <w:rPr>
          <w:rFonts w:ascii="Times New Roman" w:eastAsia="Times New Roman" w:hAnsi="Times New Roman" w:cs="Times New Roman"/>
          <w:sz w:val="24"/>
          <w:szCs w:val="24"/>
        </w:rPr>
        <w:t xml:space="preserve"> under the GES to facilitate the school selection and placement process.</w:t>
      </w:r>
    </w:p>
    <w:p w14:paraId="5A76A235" w14:textId="77777777" w:rsidR="00A50AC6" w:rsidRPr="004524A3" w:rsidRDefault="00AB2532"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Junior High School (JHS) Heads</w:t>
      </w:r>
    </w:p>
    <w:p w14:paraId="1439A279" w14:textId="54F29BFC" w:rsidR="00AB2532" w:rsidRPr="004524A3" w:rsidRDefault="00AB2532"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Unlike the CSSPS</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 xml:space="preserve"> where placement decisions are based on merely academic scores, the JHS Heads play a crucial role in </w:t>
      </w:r>
      <w:r w:rsidR="007431AD" w:rsidRPr="004524A3">
        <w:rPr>
          <w:rFonts w:ascii="Times New Roman" w:eastAsia="Times New Roman" w:hAnsi="Times New Roman" w:cs="Times New Roman"/>
          <w:sz w:val="24"/>
          <w:szCs w:val="24"/>
        </w:rPr>
        <w:t>this new framework by</w:t>
      </w:r>
      <w:r w:rsidRPr="004524A3">
        <w:rPr>
          <w:rFonts w:ascii="Times New Roman" w:eastAsia="Times New Roman" w:hAnsi="Times New Roman" w:cs="Times New Roman"/>
          <w:sz w:val="24"/>
          <w:szCs w:val="24"/>
        </w:rPr>
        <w:t xml:space="preserve"> evaluating and submitting a holistic score for each </w:t>
      </w:r>
      <w:r w:rsidR="000455A6" w:rsidRPr="004524A3">
        <w:rPr>
          <w:rFonts w:ascii="Times New Roman" w:eastAsia="Times New Roman" w:hAnsi="Times New Roman" w:cs="Times New Roman"/>
          <w:sz w:val="24"/>
          <w:szCs w:val="24"/>
        </w:rPr>
        <w:t>student. This score is based on</w:t>
      </w:r>
      <w:r w:rsidRPr="004524A3">
        <w:rPr>
          <w:rFonts w:ascii="Times New Roman" w:eastAsia="Times New Roman" w:hAnsi="Times New Roman" w:cs="Times New Roman"/>
          <w:sz w:val="24"/>
          <w:szCs w:val="24"/>
        </w:rPr>
        <w:t xml:space="preserve"> student</w:t>
      </w:r>
      <w:r w:rsidR="00B76EED">
        <w:rPr>
          <w:rFonts w:ascii="Times New Roman" w:eastAsia="Times New Roman" w:hAnsi="Times New Roman" w:cs="Times New Roman"/>
          <w:sz w:val="24"/>
          <w:szCs w:val="24"/>
        </w:rPr>
        <w:t>s'</w:t>
      </w:r>
      <w:r w:rsidRPr="004524A3">
        <w:rPr>
          <w:rFonts w:ascii="Times New Roman" w:eastAsia="Times New Roman" w:hAnsi="Times New Roman" w:cs="Times New Roman"/>
          <w:sz w:val="24"/>
          <w:szCs w:val="24"/>
        </w:rPr>
        <w:t xml:space="preserve"> interests, skills, and extracurricular activities to provide a comprehensive assessment of their abilities. By compiling this data, JHS Heads ensure that the placement system makes informed decisions that align with the student</w:t>
      </w:r>
      <w:r w:rsidR="00B76EED">
        <w:rPr>
          <w:rFonts w:ascii="Times New Roman" w:eastAsia="Times New Roman" w:hAnsi="Times New Roman" w:cs="Times New Roman"/>
          <w:sz w:val="24"/>
          <w:szCs w:val="24"/>
        </w:rPr>
        <w:t>s’</w:t>
      </w:r>
      <w:r w:rsidRPr="004524A3">
        <w:rPr>
          <w:rFonts w:ascii="Times New Roman" w:eastAsia="Times New Roman" w:hAnsi="Times New Roman" w:cs="Times New Roman"/>
          <w:sz w:val="24"/>
          <w:szCs w:val="24"/>
        </w:rPr>
        <w:t xml:space="preserve"> strengths and aspirations. Additionally, JHS Heads guide students in selecting appropriate schools and courses </w:t>
      </w:r>
      <w:r w:rsidRPr="004524A3">
        <w:rPr>
          <w:rFonts w:ascii="Times New Roman" w:eastAsia="Times New Roman" w:hAnsi="Times New Roman" w:cs="Times New Roman"/>
          <w:sz w:val="24"/>
          <w:szCs w:val="24"/>
        </w:rPr>
        <w:lastRenderedPageBreak/>
        <w:t>based on their performance, preferences, and future career goals. Their role is essential in helping students make informed decisions while ensuring fairness in the placement process.</w:t>
      </w:r>
    </w:p>
    <w:p w14:paraId="021ABFEC" w14:textId="77777777" w:rsidR="000455A6" w:rsidRPr="004524A3" w:rsidRDefault="000455A6"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Why is this necessary?</w:t>
      </w:r>
    </w:p>
    <w:p w14:paraId="57416A8B" w14:textId="77777777" w:rsidR="000455A6" w:rsidRPr="004524A3" w:rsidRDefault="000455A6" w:rsidP="00AD148D">
      <w:pPr>
        <w:numPr>
          <w:ilvl w:val="0"/>
          <w:numId w:val="12"/>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This approach </w:t>
      </w:r>
      <w:r w:rsidRPr="004524A3">
        <w:rPr>
          <w:rFonts w:ascii="Times New Roman" w:eastAsia="Times New Roman" w:hAnsi="Times New Roman" w:cs="Times New Roman"/>
          <w:bCs/>
          <w:sz w:val="24"/>
          <w:szCs w:val="24"/>
        </w:rPr>
        <w:t>ensures fairer placement decisions</w:t>
      </w:r>
      <w:r w:rsidRPr="004524A3">
        <w:rPr>
          <w:rFonts w:ascii="Times New Roman" w:eastAsia="Times New Roman" w:hAnsi="Times New Roman" w:cs="Times New Roman"/>
          <w:sz w:val="24"/>
          <w:szCs w:val="24"/>
        </w:rPr>
        <w:t>, reducing the dominance of academic scores and considering students' overall capabilities.</w:t>
      </w:r>
    </w:p>
    <w:p w14:paraId="03A13DFA" w14:textId="7A56E796" w:rsidR="000455A6" w:rsidRPr="004524A3" w:rsidRDefault="000455A6" w:rsidP="00AD148D">
      <w:pPr>
        <w:numPr>
          <w:ilvl w:val="0"/>
          <w:numId w:val="12"/>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It </w:t>
      </w:r>
      <w:r w:rsidRPr="004524A3">
        <w:rPr>
          <w:rFonts w:ascii="Times New Roman" w:eastAsia="Times New Roman" w:hAnsi="Times New Roman" w:cs="Times New Roman"/>
          <w:bCs/>
          <w:sz w:val="24"/>
          <w:szCs w:val="24"/>
        </w:rPr>
        <w:t>empowers JHS Heads to play an active role in guiding students</w:t>
      </w:r>
      <w:r w:rsidRPr="004524A3">
        <w:rPr>
          <w:rFonts w:ascii="Times New Roman" w:eastAsia="Times New Roman" w:hAnsi="Times New Roman" w:cs="Times New Roman"/>
          <w:sz w:val="24"/>
          <w:szCs w:val="24"/>
        </w:rPr>
        <w:t>, ensuring a more student-centered placement system</w:t>
      </w:r>
      <w:r w:rsidR="00B76EED">
        <w:rPr>
          <w:rFonts w:ascii="Times New Roman" w:eastAsia="Times New Roman" w:hAnsi="Times New Roman" w:cs="Times New Roman"/>
          <w:sz w:val="24"/>
          <w:szCs w:val="24"/>
        </w:rPr>
        <w:t>.</w:t>
      </w:r>
    </w:p>
    <w:p w14:paraId="5BD36461" w14:textId="77777777" w:rsidR="00AC7F21" w:rsidRPr="004524A3" w:rsidRDefault="00AC7F21"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National Placement System (CSSPS) – Enhanced Matching Model</w:t>
      </w:r>
    </w:p>
    <w:p w14:paraId="57BEBECB" w14:textId="34A0FC8F" w:rsidR="00AC7F21" w:rsidRPr="004524A3" w:rsidRDefault="00AC7F21"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In this new framework, the Computerized School Selection and Placement System (CSSPS) operates in a decentralized form, where individual Senior High Schools (SHS</w:t>
      </w:r>
      <w:r w:rsidR="00B76EED">
        <w:rPr>
          <w:rFonts w:ascii="Times New Roman" w:eastAsia="Times New Roman" w:hAnsi="Times New Roman" w:cs="Times New Roman"/>
          <w:sz w:val="24"/>
          <w:szCs w:val="24"/>
        </w:rPr>
        <w:t>s</w:t>
      </w:r>
      <w:r w:rsidRPr="004524A3">
        <w:rPr>
          <w:rFonts w:ascii="Times New Roman" w:eastAsia="Times New Roman" w:hAnsi="Times New Roman" w:cs="Times New Roman"/>
          <w:sz w:val="24"/>
          <w:szCs w:val="24"/>
        </w:rPr>
        <w:t>) are given the authority to make decisions on student placements. Each school evaluates candidates based on vacancy availability, holistic scores (which include interests and extracurricular activities), and BECE academic scores. Schools assess applicants using these criteria</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 xml:space="preserve"> multiple factors with their respective percentages</w:t>
      </w:r>
      <w:r w:rsidR="0088738D" w:rsidRPr="004524A3">
        <w:rPr>
          <w:rFonts w:ascii="Times New Roman" w:eastAsia="Times New Roman" w:hAnsi="Times New Roman" w:cs="Times New Roman"/>
          <w:sz w:val="24"/>
          <w:szCs w:val="24"/>
        </w:rPr>
        <w:t xml:space="preserve"> </w:t>
      </w:r>
      <w:r w:rsidR="00287374" w:rsidRPr="004524A3">
        <w:rPr>
          <w:rFonts w:ascii="Times New Roman" w:eastAsia="Times New Roman" w:hAnsi="Times New Roman" w:cs="Times New Roman"/>
          <w:sz w:val="24"/>
          <w:szCs w:val="24"/>
        </w:rPr>
        <w:t>(see table 5</w:t>
      </w:r>
      <w:r w:rsidRPr="004524A3">
        <w:rPr>
          <w:rFonts w:ascii="Times New Roman" w:eastAsia="Times New Roman" w:hAnsi="Times New Roman" w:cs="Times New Roman"/>
          <w:sz w:val="24"/>
          <w:szCs w:val="24"/>
        </w:rPr>
        <w:t>)</w:t>
      </w:r>
      <w:r w:rsidR="00B76EED">
        <w:rPr>
          <w:rFonts w:ascii="Times New Roman" w:eastAsia="Times New Roman" w:hAnsi="Times New Roman" w:cs="Times New Roman"/>
          <w:sz w:val="24"/>
          <w:szCs w:val="24"/>
        </w:rPr>
        <w:t>,</w:t>
      </w:r>
      <w:r w:rsidRPr="004524A3">
        <w:rPr>
          <w:rFonts w:ascii="Times New Roman" w:eastAsia="Times New Roman" w:hAnsi="Times New Roman" w:cs="Times New Roman"/>
          <w:sz w:val="24"/>
          <w:szCs w:val="24"/>
        </w:rPr>
        <w:t xml:space="preserve"> before making placement decisions.</w:t>
      </w:r>
    </w:p>
    <w:p w14:paraId="4BAA5E9E" w14:textId="08EA46D8" w:rsidR="00AC7F21" w:rsidRPr="004524A3" w:rsidRDefault="00AC7F21"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Once a school selects a student who meets its requirements, the student is given a tentative acceptance. However, if a student does not meet the criteria for their chosen school, the system employs the Deferred Acceptance Algorithm (DAA). This algorithm works through an iterative proposal process, where students who are not initially placed in their preferred schools are given the chance to resubmit a new set of school</w:t>
      </w:r>
      <w:r w:rsidR="00B76EED">
        <w:rPr>
          <w:rFonts w:ascii="Times New Roman" w:eastAsia="Times New Roman" w:hAnsi="Times New Roman" w:cs="Times New Roman"/>
          <w:sz w:val="24"/>
          <w:szCs w:val="24"/>
        </w:rPr>
        <w:t>s</w:t>
      </w:r>
      <w:r w:rsidRPr="004524A3">
        <w:rPr>
          <w:rFonts w:ascii="Times New Roman" w:eastAsia="Times New Roman" w:hAnsi="Times New Roman" w:cs="Times New Roman"/>
          <w:sz w:val="24"/>
          <w:szCs w:val="24"/>
        </w:rPr>
        <w:t xml:space="preserve"> and course</w:t>
      </w:r>
      <w:r w:rsidR="00B76EED">
        <w:rPr>
          <w:rFonts w:ascii="Times New Roman" w:eastAsia="Times New Roman" w:hAnsi="Times New Roman" w:cs="Times New Roman"/>
          <w:sz w:val="24"/>
          <w:szCs w:val="24"/>
        </w:rPr>
        <w:t>s</w:t>
      </w:r>
      <w:r w:rsidRPr="004524A3">
        <w:rPr>
          <w:rFonts w:ascii="Times New Roman" w:eastAsia="Times New Roman" w:hAnsi="Times New Roman" w:cs="Times New Roman"/>
          <w:sz w:val="24"/>
          <w:szCs w:val="24"/>
        </w:rPr>
        <w:t xml:space="preserve"> and re-evaluated for the other school based on their qualifications. The system continuously iterates through different school options until each student is successfully matched to a school that aligns with their scores and preferences. This process ensures that students are placed fairly and efficiently while maximizing their chances of attending a satisfactory school.</w:t>
      </w:r>
    </w:p>
    <w:tbl>
      <w:tblPr>
        <w:tblStyle w:val="TableGrid"/>
        <w:tblW w:w="0" w:type="auto"/>
        <w:tblLook w:val="04A0" w:firstRow="1" w:lastRow="0" w:firstColumn="1" w:lastColumn="0" w:noHBand="0" w:noVBand="1"/>
      </w:tblPr>
      <w:tblGrid>
        <w:gridCol w:w="4675"/>
        <w:gridCol w:w="4675"/>
      </w:tblGrid>
      <w:tr w:rsidR="00AC7F21" w:rsidRPr="004524A3" w14:paraId="75E77908" w14:textId="77777777" w:rsidTr="00AC7F21">
        <w:tc>
          <w:tcPr>
            <w:tcW w:w="4675" w:type="dxa"/>
          </w:tcPr>
          <w:p w14:paraId="61FCAA50"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Factor</w:t>
            </w:r>
          </w:p>
        </w:tc>
        <w:tc>
          <w:tcPr>
            <w:tcW w:w="4675" w:type="dxa"/>
          </w:tcPr>
          <w:p w14:paraId="351EB3E0"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Weight in Placement Decision</w:t>
            </w:r>
          </w:p>
        </w:tc>
      </w:tr>
      <w:tr w:rsidR="00AC7F21" w:rsidRPr="004524A3" w14:paraId="5865D0FF" w14:textId="77777777" w:rsidTr="00AC7F21">
        <w:tc>
          <w:tcPr>
            <w:tcW w:w="4675" w:type="dxa"/>
          </w:tcPr>
          <w:p w14:paraId="4C1B0DE2"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BECE Academic Score</w:t>
            </w:r>
          </w:p>
        </w:tc>
        <w:tc>
          <w:tcPr>
            <w:tcW w:w="4675" w:type="dxa"/>
          </w:tcPr>
          <w:p w14:paraId="44F0792F"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50%</w:t>
            </w:r>
          </w:p>
        </w:tc>
      </w:tr>
      <w:tr w:rsidR="00AC7F21" w:rsidRPr="004524A3" w14:paraId="2DCE050B" w14:textId="77777777" w:rsidTr="00AC7F21">
        <w:tc>
          <w:tcPr>
            <w:tcW w:w="4675" w:type="dxa"/>
          </w:tcPr>
          <w:p w14:paraId="550FA712"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Student Career Interests</w:t>
            </w:r>
          </w:p>
        </w:tc>
        <w:tc>
          <w:tcPr>
            <w:tcW w:w="4675" w:type="dxa"/>
          </w:tcPr>
          <w:p w14:paraId="54892E9C"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20%</w:t>
            </w:r>
          </w:p>
        </w:tc>
      </w:tr>
      <w:tr w:rsidR="00AC7F21" w:rsidRPr="004524A3" w14:paraId="06C01DB8" w14:textId="77777777" w:rsidTr="00AC7F21">
        <w:tc>
          <w:tcPr>
            <w:tcW w:w="4675" w:type="dxa"/>
          </w:tcPr>
          <w:p w14:paraId="53A43FD3"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JHS Head’s Recommendation</w:t>
            </w:r>
          </w:p>
        </w:tc>
        <w:tc>
          <w:tcPr>
            <w:tcW w:w="4675" w:type="dxa"/>
          </w:tcPr>
          <w:p w14:paraId="5F3170C5"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15%</w:t>
            </w:r>
          </w:p>
        </w:tc>
      </w:tr>
      <w:tr w:rsidR="00AC7F21" w:rsidRPr="004524A3" w14:paraId="0C9E9F5D" w14:textId="77777777" w:rsidTr="00AC7F21">
        <w:tc>
          <w:tcPr>
            <w:tcW w:w="4675" w:type="dxa"/>
          </w:tcPr>
          <w:p w14:paraId="1340E1C1"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Extracurricular Activities</w:t>
            </w:r>
          </w:p>
        </w:tc>
        <w:tc>
          <w:tcPr>
            <w:tcW w:w="4675" w:type="dxa"/>
          </w:tcPr>
          <w:p w14:paraId="3B216EA6"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10%</w:t>
            </w:r>
          </w:p>
        </w:tc>
      </w:tr>
      <w:tr w:rsidR="00AC7F21" w:rsidRPr="004524A3" w14:paraId="169C66E8" w14:textId="77777777" w:rsidTr="00AC7F21">
        <w:tc>
          <w:tcPr>
            <w:tcW w:w="4675" w:type="dxa"/>
          </w:tcPr>
          <w:p w14:paraId="3C546A15"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Other Considerations (e.g., Special Needs, Regional Balance)</w:t>
            </w:r>
          </w:p>
        </w:tc>
        <w:tc>
          <w:tcPr>
            <w:tcW w:w="4675" w:type="dxa"/>
          </w:tcPr>
          <w:p w14:paraId="0D76836B" w14:textId="77777777" w:rsidR="00AC7F21" w:rsidRPr="004524A3" w:rsidRDefault="00AC7F21" w:rsidP="00AD148D">
            <w:pPr>
              <w:jc w:val="both"/>
              <w:rPr>
                <w:rFonts w:ascii="Times New Roman" w:hAnsi="Times New Roman" w:cs="Times New Roman"/>
              </w:rPr>
            </w:pPr>
            <w:r w:rsidRPr="004524A3">
              <w:rPr>
                <w:rFonts w:ascii="Times New Roman" w:hAnsi="Times New Roman" w:cs="Times New Roman"/>
              </w:rPr>
              <w:t>5%</w:t>
            </w:r>
          </w:p>
        </w:tc>
      </w:tr>
    </w:tbl>
    <w:p w14:paraId="09248D41" w14:textId="77777777" w:rsidR="00AC7F21" w:rsidRPr="004524A3" w:rsidRDefault="00AC7F21" w:rsidP="00AD148D">
      <w:pPr>
        <w:jc w:val="both"/>
        <w:rPr>
          <w:rFonts w:ascii="Times New Roman" w:eastAsia="Times New Roman" w:hAnsi="Times New Roman" w:cs="Times New Roman"/>
          <w:sz w:val="24"/>
          <w:szCs w:val="24"/>
        </w:rPr>
      </w:pPr>
    </w:p>
    <w:p w14:paraId="5A4BA837" w14:textId="77777777" w:rsidR="00757B6F" w:rsidRPr="004524A3" w:rsidRDefault="00757B6F"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Why is this necessary?</w:t>
      </w:r>
    </w:p>
    <w:p w14:paraId="23812943" w14:textId="77777777" w:rsidR="00757B6F" w:rsidRPr="004524A3" w:rsidRDefault="00757B6F" w:rsidP="00AD148D">
      <w:pPr>
        <w:numPr>
          <w:ilvl w:val="0"/>
          <w:numId w:val="14"/>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The existing CSSPS </w:t>
      </w:r>
      <w:r w:rsidRPr="004524A3">
        <w:rPr>
          <w:rFonts w:ascii="Times New Roman" w:eastAsia="Times New Roman" w:hAnsi="Times New Roman" w:cs="Times New Roman"/>
          <w:b/>
          <w:bCs/>
          <w:sz w:val="24"/>
          <w:szCs w:val="24"/>
        </w:rPr>
        <w:t>automatically assigns students without allowing them to reconsider their options</w:t>
      </w:r>
      <w:r w:rsidRPr="004524A3">
        <w:rPr>
          <w:rFonts w:ascii="Times New Roman" w:eastAsia="Times New Roman" w:hAnsi="Times New Roman" w:cs="Times New Roman"/>
          <w:sz w:val="24"/>
          <w:szCs w:val="24"/>
        </w:rPr>
        <w:t xml:space="preserve">, leading to </w:t>
      </w:r>
      <w:r w:rsidRPr="004524A3">
        <w:rPr>
          <w:rFonts w:ascii="Times New Roman" w:eastAsia="Times New Roman" w:hAnsi="Times New Roman" w:cs="Times New Roman"/>
          <w:b/>
          <w:bCs/>
          <w:sz w:val="24"/>
          <w:szCs w:val="24"/>
        </w:rPr>
        <w:t>frustration and mismatched placements</w:t>
      </w:r>
      <w:r w:rsidRPr="004524A3">
        <w:rPr>
          <w:rFonts w:ascii="Times New Roman" w:eastAsia="Times New Roman" w:hAnsi="Times New Roman" w:cs="Times New Roman"/>
          <w:sz w:val="24"/>
          <w:szCs w:val="24"/>
        </w:rPr>
        <w:t>.</w:t>
      </w:r>
    </w:p>
    <w:p w14:paraId="2D18BCAB" w14:textId="77777777" w:rsidR="00757B6F" w:rsidRPr="004524A3" w:rsidRDefault="00757B6F" w:rsidP="00AD148D">
      <w:pPr>
        <w:numPr>
          <w:ilvl w:val="0"/>
          <w:numId w:val="14"/>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The iterative approach </w:t>
      </w:r>
      <w:r w:rsidRPr="004524A3">
        <w:rPr>
          <w:rFonts w:ascii="Times New Roman" w:eastAsia="Times New Roman" w:hAnsi="Times New Roman" w:cs="Times New Roman"/>
          <w:b/>
          <w:bCs/>
          <w:sz w:val="24"/>
          <w:szCs w:val="24"/>
        </w:rPr>
        <w:t>ensures a better fit between students and schools</w:t>
      </w:r>
      <w:r w:rsidRPr="004524A3">
        <w:rPr>
          <w:rFonts w:ascii="Times New Roman" w:eastAsia="Times New Roman" w:hAnsi="Times New Roman" w:cs="Times New Roman"/>
          <w:sz w:val="24"/>
          <w:szCs w:val="24"/>
        </w:rPr>
        <w:t>, increasing enrolment and reducing transfer requests.</w:t>
      </w:r>
    </w:p>
    <w:p w14:paraId="290AB0FB" w14:textId="77777777" w:rsidR="00757B6F" w:rsidRPr="004524A3" w:rsidRDefault="00757B6F" w:rsidP="00AD148D">
      <w:pPr>
        <w:jc w:val="both"/>
        <w:rPr>
          <w:rFonts w:ascii="Times New Roman" w:eastAsia="Times New Roman" w:hAnsi="Times New Roman" w:cs="Times New Roman"/>
          <w:sz w:val="24"/>
          <w:szCs w:val="24"/>
        </w:rPr>
      </w:pPr>
    </w:p>
    <w:p w14:paraId="1A346441" w14:textId="77777777" w:rsidR="00C4430C" w:rsidRPr="004524A3" w:rsidRDefault="00C4430C"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lastRenderedPageBreak/>
        <w:t>CSSPS Feedback and Grievance Mechanism</w:t>
      </w:r>
    </w:p>
    <w:p w14:paraId="66F6C7A2" w14:textId="77777777" w:rsidR="00C4430C" w:rsidRPr="004524A3" w:rsidRDefault="00C4430C"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The CSSPS Feedback and Grievance Mechanism provides a decentralized and efficient system for resolving placement issues, ensuring transparency and accessibility for students and parents. Through online platforms, students can check their placement status, submit appeals, and receive updates conveniently. The Grievance Re</w:t>
      </w:r>
      <w:r w:rsidR="00434A23" w:rsidRPr="004524A3">
        <w:rPr>
          <w:rFonts w:ascii="Times New Roman" w:eastAsia="Times New Roman" w:hAnsi="Times New Roman" w:cs="Times New Roman"/>
          <w:sz w:val="24"/>
          <w:szCs w:val="24"/>
        </w:rPr>
        <w:t xml:space="preserve">dress System allows students to </w:t>
      </w:r>
      <w:r w:rsidRPr="004524A3">
        <w:rPr>
          <w:rFonts w:ascii="Times New Roman" w:eastAsia="Times New Roman" w:hAnsi="Times New Roman" w:cs="Times New Roman"/>
          <w:sz w:val="24"/>
          <w:szCs w:val="24"/>
        </w:rPr>
        <w:t>formally submit complaints regarding placement errors or unsatisfactory school allocations, ensuring timely responses and resolutions. Additionally, municipal offices serve as decentralized support centers where students and parents can seek in-person assistance for appeals and alternative placements. This approach significantly improves the efficiency of complaint resolution compared to a centralized system, reducing frustration and ensuring a smoother transition into senior high school.</w:t>
      </w:r>
    </w:p>
    <w:p w14:paraId="245590A2" w14:textId="77777777" w:rsidR="00CC2C4E" w:rsidRPr="004524A3" w:rsidRDefault="00CC2C4E"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Why is this necessary?</w:t>
      </w:r>
    </w:p>
    <w:p w14:paraId="019A5738" w14:textId="77777777" w:rsidR="00CC2C4E" w:rsidRPr="004524A3" w:rsidRDefault="00CC2C4E" w:rsidP="00AD148D">
      <w:pPr>
        <w:numPr>
          <w:ilvl w:val="0"/>
          <w:numId w:val="16"/>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Currently, students </w:t>
      </w:r>
      <w:r w:rsidRPr="004524A3">
        <w:rPr>
          <w:rFonts w:ascii="Times New Roman" w:eastAsia="Times New Roman" w:hAnsi="Times New Roman" w:cs="Times New Roman"/>
          <w:bCs/>
          <w:sz w:val="24"/>
          <w:szCs w:val="24"/>
        </w:rPr>
        <w:t>struggle to seek redress when errors occur</w:t>
      </w:r>
      <w:r w:rsidRPr="004524A3">
        <w:rPr>
          <w:rFonts w:ascii="Times New Roman" w:eastAsia="Times New Roman" w:hAnsi="Times New Roman" w:cs="Times New Roman"/>
          <w:sz w:val="24"/>
          <w:szCs w:val="24"/>
        </w:rPr>
        <w:t xml:space="preserve">, leading to </w:t>
      </w:r>
      <w:r w:rsidRPr="004524A3">
        <w:rPr>
          <w:rFonts w:ascii="Times New Roman" w:eastAsia="Times New Roman" w:hAnsi="Times New Roman" w:cs="Times New Roman"/>
          <w:bCs/>
          <w:sz w:val="24"/>
          <w:szCs w:val="24"/>
        </w:rPr>
        <w:t>delays in enrolment</w:t>
      </w:r>
      <w:r w:rsidRPr="004524A3">
        <w:rPr>
          <w:rFonts w:ascii="Times New Roman" w:eastAsia="Times New Roman" w:hAnsi="Times New Roman" w:cs="Times New Roman"/>
          <w:sz w:val="24"/>
          <w:szCs w:val="24"/>
        </w:rPr>
        <w:t>.</w:t>
      </w:r>
    </w:p>
    <w:p w14:paraId="1910B3F2" w14:textId="77777777" w:rsidR="00CC2C4E" w:rsidRPr="004524A3" w:rsidRDefault="00CC2C4E" w:rsidP="00AD148D">
      <w:pPr>
        <w:numPr>
          <w:ilvl w:val="0"/>
          <w:numId w:val="16"/>
        </w:num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This decentralized approach </w:t>
      </w:r>
      <w:r w:rsidRPr="004524A3">
        <w:rPr>
          <w:rFonts w:ascii="Times New Roman" w:eastAsia="Times New Roman" w:hAnsi="Times New Roman" w:cs="Times New Roman"/>
          <w:bCs/>
          <w:sz w:val="24"/>
          <w:szCs w:val="24"/>
        </w:rPr>
        <w:t>ensures transparency, timely resolutions, and improved student satisfaction</w:t>
      </w:r>
      <w:r w:rsidRPr="004524A3">
        <w:rPr>
          <w:rFonts w:ascii="Times New Roman" w:eastAsia="Times New Roman" w:hAnsi="Times New Roman" w:cs="Times New Roman"/>
          <w:sz w:val="24"/>
          <w:szCs w:val="24"/>
        </w:rPr>
        <w:t>.</w:t>
      </w:r>
    </w:p>
    <w:p w14:paraId="30D41206" w14:textId="77777777" w:rsidR="00CC2C4E" w:rsidRPr="004524A3" w:rsidRDefault="00CC2C4E" w:rsidP="00AD148D">
      <w:pPr>
        <w:jc w:val="both"/>
        <w:rPr>
          <w:rFonts w:ascii="Times New Roman" w:eastAsia="Times New Roman" w:hAnsi="Times New Roman" w:cs="Times New Roman"/>
          <w:sz w:val="24"/>
          <w:szCs w:val="24"/>
        </w:rPr>
      </w:pPr>
    </w:p>
    <w:p w14:paraId="52C43D9E" w14:textId="77777777" w:rsidR="00C4430C" w:rsidRPr="004524A3" w:rsidRDefault="001F1EFD" w:rsidP="00AD148D">
      <w:pPr>
        <w:jc w:val="both"/>
        <w:rPr>
          <w:rFonts w:ascii="Times New Roman" w:eastAsia="Times New Roman" w:hAnsi="Times New Roman" w:cs="Times New Roman"/>
          <w:b/>
          <w:sz w:val="24"/>
          <w:szCs w:val="24"/>
        </w:rPr>
      </w:pPr>
      <w:r w:rsidRPr="004524A3">
        <w:rPr>
          <w:rFonts w:ascii="Times New Roman" w:eastAsia="Times New Roman" w:hAnsi="Times New Roman" w:cs="Times New Roman"/>
          <w:b/>
          <w:sz w:val="24"/>
          <w:szCs w:val="24"/>
        </w:rPr>
        <w:t>Implementation strategy</w:t>
      </w:r>
    </w:p>
    <w:p w14:paraId="4D7CB8E4" w14:textId="77777777" w:rsidR="001F1EFD" w:rsidRPr="004524A3" w:rsidRDefault="001F1EFD"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To ensure the effective adoption of the CSSPS framework, a phased approach can be used </w:t>
      </w:r>
      <w:r w:rsidR="00434A23" w:rsidRPr="004524A3">
        <w:rPr>
          <w:rFonts w:ascii="Times New Roman" w:eastAsia="Times New Roman" w:hAnsi="Times New Roman" w:cs="Times New Roman"/>
          <w:sz w:val="24"/>
          <w:szCs w:val="24"/>
        </w:rPr>
        <w:t>for testing and implementation.</w:t>
      </w:r>
    </w:p>
    <w:p w14:paraId="44CDE6EF" w14:textId="5B677091" w:rsidR="001F1EFD" w:rsidRPr="004524A3" w:rsidRDefault="001F1EFD"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In Phase 1, sta</w:t>
      </w:r>
      <w:r w:rsidR="00A40DFB" w:rsidRPr="004524A3">
        <w:rPr>
          <w:rFonts w:ascii="Times New Roman" w:eastAsia="Times New Roman" w:hAnsi="Times New Roman" w:cs="Times New Roman"/>
          <w:sz w:val="24"/>
          <w:szCs w:val="24"/>
        </w:rPr>
        <w:t>keholder engagement should be conducted</w:t>
      </w:r>
      <w:r w:rsidRPr="004524A3">
        <w:rPr>
          <w:rFonts w:ascii="Times New Roman" w:eastAsia="Times New Roman" w:hAnsi="Times New Roman" w:cs="Times New Roman"/>
          <w:sz w:val="24"/>
          <w:szCs w:val="24"/>
        </w:rPr>
        <w:t xml:space="preserve"> over six months, involving key players such as the Ministry of Education (MOE), school administrators, parents, and students. This phase ensures that all parties understand the new placement process, including the role of career counseling, holistic assessments, an</w:t>
      </w:r>
      <w:r w:rsidR="00434A23" w:rsidRPr="004524A3">
        <w:rPr>
          <w:rFonts w:ascii="Times New Roman" w:eastAsia="Times New Roman" w:hAnsi="Times New Roman" w:cs="Times New Roman"/>
          <w:sz w:val="24"/>
          <w:szCs w:val="24"/>
        </w:rPr>
        <w:t>d grievance redress mechanisms.</w:t>
      </w:r>
    </w:p>
    <w:p w14:paraId="2A212C14" w14:textId="77777777" w:rsidR="001F1EFD" w:rsidRPr="004524A3" w:rsidRDefault="001F1EFD"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Phase 2, also lasting six months, focuses on the development of student profiling and interest assessment tools. This aligns with the JHS Heads' role in submitting a holistic student score, incorporating academic performance, extracurricular activities, and career interests to gui</w:t>
      </w:r>
      <w:r w:rsidR="00434A23" w:rsidRPr="004524A3">
        <w:rPr>
          <w:rFonts w:ascii="Times New Roman" w:eastAsia="Times New Roman" w:hAnsi="Times New Roman" w:cs="Times New Roman"/>
          <w:sz w:val="24"/>
          <w:szCs w:val="24"/>
        </w:rPr>
        <w:t>de school and course selection.</w:t>
      </w:r>
    </w:p>
    <w:p w14:paraId="55A4B928" w14:textId="77777777" w:rsidR="001F1EFD" w:rsidRPr="004524A3" w:rsidRDefault="001F1EFD"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Phase 3 involves pilot testing in selected regions over one year. The CSSPS placement mechanism will be tested using real student data, allowing schools to make placement decisions based on academic and holistic scores while utilizing the Deferred Acceptance Algorithm (DAA) for iterative placements. Additionally, the CSSPS Feedback Mechanism will be assessed, ensuring that students can access online platforms, grievance redress systems, and municipal offices to resolve placement issues.</w:t>
      </w:r>
    </w:p>
    <w:p w14:paraId="2B600EB8" w14:textId="77777777" w:rsidR="001F1EFD" w:rsidRPr="004524A3" w:rsidRDefault="001F1EFD" w:rsidP="00AD148D">
      <w:pPr>
        <w:jc w:val="both"/>
        <w:rPr>
          <w:rFonts w:ascii="Times New Roman" w:eastAsia="Times New Roman" w:hAnsi="Times New Roman" w:cs="Times New Roman"/>
          <w:sz w:val="24"/>
          <w:szCs w:val="24"/>
        </w:rPr>
      </w:pPr>
    </w:p>
    <w:p w14:paraId="1F2184DC" w14:textId="77777777" w:rsidR="001F1EFD" w:rsidRPr="004524A3" w:rsidRDefault="001F1EFD"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 xml:space="preserve">Finally, in Phase 4, the framework undergoes full-scale national implementation over two years. At this stage, the automated placement system operates efficiently, with schools handling decentralized admissions based on vacancies and student qualifications, ensuring a fair and </w:t>
      </w:r>
      <w:r w:rsidRPr="004524A3">
        <w:rPr>
          <w:rFonts w:ascii="Times New Roman" w:eastAsia="Times New Roman" w:hAnsi="Times New Roman" w:cs="Times New Roman"/>
          <w:sz w:val="24"/>
          <w:szCs w:val="24"/>
        </w:rPr>
        <w:lastRenderedPageBreak/>
        <w:t>transparent process. This phased approach ensures a smooth transition, allowing necessary improvements before full deployment.</w:t>
      </w:r>
    </w:p>
    <w:p w14:paraId="40E4E92D" w14:textId="6244543E" w:rsidR="0060318F" w:rsidRPr="004524A3" w:rsidRDefault="0060318F" w:rsidP="00AD148D">
      <w:pPr>
        <w:spacing w:after="240" w:line="480" w:lineRule="auto"/>
        <w:contextualSpacing/>
        <w:jc w:val="both"/>
        <w:rPr>
          <w:rFonts w:ascii="Times New Roman" w:eastAsia="Calibri" w:hAnsi="Times New Roman" w:cs="Times New Roman"/>
          <w:color w:val="0D0D0D"/>
          <w:sz w:val="24"/>
          <w:szCs w:val="24"/>
        </w:rPr>
      </w:pPr>
    </w:p>
    <w:p w14:paraId="28D229B5" w14:textId="77777777" w:rsidR="0060318F" w:rsidRPr="004524A3" w:rsidRDefault="0060318F" w:rsidP="00AD148D">
      <w:pPr>
        <w:spacing w:after="240" w:line="480" w:lineRule="auto"/>
        <w:ind w:left="720"/>
        <w:contextualSpacing/>
        <w:jc w:val="both"/>
        <w:rPr>
          <w:rFonts w:ascii="Times New Roman" w:eastAsia="Calibri" w:hAnsi="Times New Roman" w:cs="Times New Roman"/>
          <w:b/>
          <w:bCs/>
          <w:color w:val="0D0D0D"/>
          <w:sz w:val="24"/>
          <w:szCs w:val="24"/>
        </w:rPr>
      </w:pPr>
      <w:r w:rsidRPr="004524A3">
        <w:rPr>
          <w:rFonts w:ascii="Times New Roman" w:eastAsia="Calibri" w:hAnsi="Times New Roman" w:cs="Times New Roman"/>
          <w:b/>
          <w:bCs/>
          <w:color w:val="0D0D0D"/>
          <w:sz w:val="24"/>
          <w:szCs w:val="24"/>
        </w:rPr>
        <w:t>Expected Impact of the Enhanced CSSPS Framework</w:t>
      </w:r>
    </w:p>
    <w:p w14:paraId="2196CDBC" w14:textId="77777777" w:rsidR="0060318F" w:rsidRPr="004524A3" w:rsidRDefault="0060318F" w:rsidP="00AD148D">
      <w:pPr>
        <w:spacing w:after="240" w:line="480" w:lineRule="auto"/>
        <w:ind w:left="720"/>
        <w:contextualSpacing/>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The proposed framework is designed to:</w:t>
      </w:r>
      <w:r w:rsidRPr="004524A3">
        <w:rPr>
          <w:rFonts w:ascii="Times New Roman" w:eastAsia="Calibri" w:hAnsi="Times New Roman" w:cs="Times New Roman"/>
          <w:color w:val="0D0D0D"/>
          <w:sz w:val="24"/>
          <w:szCs w:val="24"/>
        </w:rPr>
        <w:br/>
      </w:r>
      <w:r w:rsidRPr="004524A3">
        <w:rPr>
          <w:rFonts w:ascii="Segoe UI Symbol" w:eastAsia="Calibri" w:hAnsi="Segoe UI Symbol" w:cs="Segoe UI Symbol"/>
          <w:color w:val="0D0D0D"/>
          <w:sz w:val="24"/>
          <w:szCs w:val="24"/>
        </w:rPr>
        <w:t>✅</w:t>
      </w:r>
      <w:r w:rsidRPr="004524A3">
        <w:rPr>
          <w:rFonts w:ascii="Times New Roman" w:eastAsia="Calibri" w:hAnsi="Times New Roman" w:cs="Times New Roman"/>
          <w:color w:val="0D0D0D"/>
          <w:sz w:val="24"/>
          <w:szCs w:val="24"/>
        </w:rPr>
        <w:t xml:space="preserve"> </w:t>
      </w:r>
      <w:r w:rsidRPr="004524A3">
        <w:rPr>
          <w:rFonts w:ascii="Times New Roman" w:eastAsia="Calibri" w:hAnsi="Times New Roman" w:cs="Times New Roman"/>
          <w:b/>
          <w:bCs/>
          <w:color w:val="0D0D0D"/>
          <w:sz w:val="24"/>
          <w:szCs w:val="24"/>
        </w:rPr>
        <w:t>Increase fairness and transparency</w:t>
      </w:r>
      <w:r w:rsidRPr="004524A3">
        <w:rPr>
          <w:rFonts w:ascii="Times New Roman" w:eastAsia="Calibri" w:hAnsi="Times New Roman" w:cs="Times New Roman"/>
          <w:color w:val="0D0D0D"/>
          <w:sz w:val="24"/>
          <w:szCs w:val="24"/>
        </w:rPr>
        <w:t xml:space="preserve"> by incorporating student interests, extracurricular activities, and holistic assessments.</w:t>
      </w:r>
      <w:r w:rsidRPr="004524A3">
        <w:rPr>
          <w:rFonts w:ascii="Times New Roman" w:eastAsia="Calibri" w:hAnsi="Times New Roman" w:cs="Times New Roman"/>
          <w:color w:val="0D0D0D"/>
          <w:sz w:val="24"/>
          <w:szCs w:val="24"/>
        </w:rPr>
        <w:br/>
      </w:r>
      <w:r w:rsidRPr="004524A3">
        <w:rPr>
          <w:rFonts w:ascii="Segoe UI Symbol" w:eastAsia="Calibri" w:hAnsi="Segoe UI Symbol" w:cs="Segoe UI Symbol"/>
          <w:color w:val="0D0D0D"/>
          <w:sz w:val="24"/>
          <w:szCs w:val="24"/>
        </w:rPr>
        <w:t>✅</w:t>
      </w:r>
      <w:r w:rsidRPr="004524A3">
        <w:rPr>
          <w:rFonts w:ascii="Times New Roman" w:eastAsia="Calibri" w:hAnsi="Times New Roman" w:cs="Times New Roman"/>
          <w:color w:val="0D0D0D"/>
          <w:sz w:val="24"/>
          <w:szCs w:val="24"/>
        </w:rPr>
        <w:t xml:space="preserve"> </w:t>
      </w:r>
      <w:r w:rsidRPr="004524A3">
        <w:rPr>
          <w:rFonts w:ascii="Times New Roman" w:eastAsia="Calibri" w:hAnsi="Times New Roman" w:cs="Times New Roman"/>
          <w:b/>
          <w:bCs/>
          <w:color w:val="0D0D0D"/>
          <w:sz w:val="24"/>
          <w:szCs w:val="24"/>
        </w:rPr>
        <w:t>Enhance placement efficiency</w:t>
      </w:r>
      <w:r w:rsidRPr="004524A3">
        <w:rPr>
          <w:rFonts w:ascii="Times New Roman" w:eastAsia="Calibri" w:hAnsi="Times New Roman" w:cs="Times New Roman"/>
          <w:color w:val="0D0D0D"/>
          <w:sz w:val="24"/>
          <w:szCs w:val="24"/>
        </w:rPr>
        <w:t xml:space="preserve"> through iterative selection and decentralized decision-making.</w:t>
      </w:r>
      <w:r w:rsidRPr="004524A3">
        <w:rPr>
          <w:rFonts w:ascii="Times New Roman" w:eastAsia="Calibri" w:hAnsi="Times New Roman" w:cs="Times New Roman"/>
          <w:color w:val="0D0D0D"/>
          <w:sz w:val="24"/>
          <w:szCs w:val="24"/>
        </w:rPr>
        <w:br/>
      </w:r>
      <w:r w:rsidRPr="004524A3">
        <w:rPr>
          <w:rFonts w:ascii="Segoe UI Symbol" w:eastAsia="Calibri" w:hAnsi="Segoe UI Symbol" w:cs="Segoe UI Symbol"/>
          <w:color w:val="0D0D0D"/>
          <w:sz w:val="24"/>
          <w:szCs w:val="24"/>
        </w:rPr>
        <w:t>✅</w:t>
      </w:r>
      <w:r w:rsidRPr="004524A3">
        <w:rPr>
          <w:rFonts w:ascii="Times New Roman" w:eastAsia="Calibri" w:hAnsi="Times New Roman" w:cs="Times New Roman"/>
          <w:color w:val="0D0D0D"/>
          <w:sz w:val="24"/>
          <w:szCs w:val="24"/>
        </w:rPr>
        <w:t xml:space="preserve"> </w:t>
      </w:r>
      <w:r w:rsidRPr="004524A3">
        <w:rPr>
          <w:rFonts w:ascii="Times New Roman" w:eastAsia="Calibri" w:hAnsi="Times New Roman" w:cs="Times New Roman"/>
          <w:b/>
          <w:bCs/>
          <w:color w:val="0D0D0D"/>
          <w:sz w:val="24"/>
          <w:szCs w:val="24"/>
        </w:rPr>
        <w:t>Reduce dissatisfaction and mismatches</w:t>
      </w:r>
      <w:r w:rsidRPr="004524A3">
        <w:rPr>
          <w:rFonts w:ascii="Times New Roman" w:eastAsia="Calibri" w:hAnsi="Times New Roman" w:cs="Times New Roman"/>
          <w:color w:val="0D0D0D"/>
          <w:sz w:val="24"/>
          <w:szCs w:val="24"/>
        </w:rPr>
        <w:t xml:space="preserve"> by allowing students to refine choices.</w:t>
      </w:r>
      <w:r w:rsidRPr="004524A3">
        <w:rPr>
          <w:rFonts w:ascii="Times New Roman" w:eastAsia="Calibri" w:hAnsi="Times New Roman" w:cs="Times New Roman"/>
          <w:color w:val="0D0D0D"/>
          <w:sz w:val="24"/>
          <w:szCs w:val="24"/>
        </w:rPr>
        <w:br/>
      </w:r>
      <w:r w:rsidRPr="004524A3">
        <w:rPr>
          <w:rFonts w:ascii="Segoe UI Symbol" w:eastAsia="Calibri" w:hAnsi="Segoe UI Symbol" w:cs="Segoe UI Symbol"/>
          <w:color w:val="0D0D0D"/>
          <w:sz w:val="24"/>
          <w:szCs w:val="24"/>
        </w:rPr>
        <w:t>✅</w:t>
      </w:r>
      <w:r w:rsidRPr="004524A3">
        <w:rPr>
          <w:rFonts w:ascii="Times New Roman" w:eastAsia="Calibri" w:hAnsi="Times New Roman" w:cs="Times New Roman"/>
          <w:color w:val="0D0D0D"/>
          <w:sz w:val="24"/>
          <w:szCs w:val="24"/>
        </w:rPr>
        <w:t xml:space="preserve"> </w:t>
      </w:r>
      <w:r w:rsidRPr="004524A3">
        <w:rPr>
          <w:rFonts w:ascii="Times New Roman" w:eastAsia="Calibri" w:hAnsi="Times New Roman" w:cs="Times New Roman"/>
          <w:b/>
          <w:bCs/>
          <w:color w:val="0D0D0D"/>
          <w:sz w:val="24"/>
          <w:szCs w:val="24"/>
        </w:rPr>
        <w:t>Improve accessibility and student engagement</w:t>
      </w:r>
      <w:r w:rsidRPr="004524A3">
        <w:rPr>
          <w:rFonts w:ascii="Times New Roman" w:eastAsia="Calibri" w:hAnsi="Times New Roman" w:cs="Times New Roman"/>
          <w:color w:val="0D0D0D"/>
          <w:sz w:val="24"/>
          <w:szCs w:val="24"/>
        </w:rPr>
        <w:t xml:space="preserve"> through an integrated feedback and grievance system.</w:t>
      </w:r>
    </w:p>
    <w:p w14:paraId="315F7BFD" w14:textId="77777777" w:rsidR="0060318F" w:rsidRPr="004524A3" w:rsidRDefault="0060318F" w:rsidP="00AD148D">
      <w:pPr>
        <w:spacing w:after="240" w:line="480" w:lineRule="auto"/>
        <w:ind w:left="720"/>
        <w:contextualSpacing/>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 xml:space="preserve">By adopting this framework, the CSSPS will transition from a </w:t>
      </w:r>
      <w:r w:rsidRPr="004524A3">
        <w:rPr>
          <w:rFonts w:ascii="Times New Roman" w:eastAsia="Calibri" w:hAnsi="Times New Roman" w:cs="Times New Roman"/>
          <w:bCs/>
          <w:color w:val="0D0D0D"/>
          <w:sz w:val="24"/>
          <w:szCs w:val="24"/>
        </w:rPr>
        <w:t>rigid, one-size-fits-all system</w:t>
      </w:r>
      <w:r w:rsidRPr="004524A3">
        <w:rPr>
          <w:rFonts w:ascii="Times New Roman" w:eastAsia="Calibri" w:hAnsi="Times New Roman" w:cs="Times New Roman"/>
          <w:color w:val="0D0D0D"/>
          <w:sz w:val="24"/>
          <w:szCs w:val="24"/>
        </w:rPr>
        <w:t xml:space="preserve"> to a </w:t>
      </w:r>
      <w:r w:rsidRPr="004524A3">
        <w:rPr>
          <w:rFonts w:ascii="Times New Roman" w:eastAsia="Calibri" w:hAnsi="Times New Roman" w:cs="Times New Roman"/>
          <w:bCs/>
          <w:color w:val="0D0D0D"/>
          <w:sz w:val="24"/>
          <w:szCs w:val="24"/>
        </w:rPr>
        <w:t>dynamic, student-centered placement model</w:t>
      </w:r>
      <w:r w:rsidRPr="004524A3">
        <w:rPr>
          <w:rFonts w:ascii="Times New Roman" w:eastAsia="Calibri" w:hAnsi="Times New Roman" w:cs="Times New Roman"/>
          <w:color w:val="0D0D0D"/>
          <w:sz w:val="24"/>
          <w:szCs w:val="24"/>
        </w:rPr>
        <w:t xml:space="preserve">, ensuring </w:t>
      </w:r>
      <w:r w:rsidRPr="004524A3">
        <w:rPr>
          <w:rFonts w:ascii="Times New Roman" w:eastAsia="Calibri" w:hAnsi="Times New Roman" w:cs="Times New Roman"/>
          <w:bCs/>
          <w:color w:val="0D0D0D"/>
          <w:sz w:val="24"/>
          <w:szCs w:val="24"/>
        </w:rPr>
        <w:t>equitable access and better enrolment outcomes</w:t>
      </w:r>
      <w:r w:rsidRPr="004524A3">
        <w:rPr>
          <w:rFonts w:ascii="Times New Roman" w:eastAsia="Calibri" w:hAnsi="Times New Roman" w:cs="Times New Roman"/>
          <w:color w:val="0D0D0D"/>
          <w:sz w:val="24"/>
          <w:szCs w:val="24"/>
        </w:rPr>
        <w:t xml:space="preserve"> for all students.</w:t>
      </w:r>
    </w:p>
    <w:p w14:paraId="372478D2" w14:textId="77777777" w:rsidR="0060318F" w:rsidRPr="004524A3" w:rsidRDefault="0060318F" w:rsidP="00AD148D">
      <w:pPr>
        <w:spacing w:after="240" w:line="480" w:lineRule="auto"/>
        <w:ind w:left="720"/>
        <w:contextualSpacing/>
        <w:jc w:val="both"/>
        <w:rPr>
          <w:rFonts w:ascii="Times New Roman" w:eastAsia="Calibri" w:hAnsi="Times New Roman" w:cs="Times New Roman"/>
          <w:color w:val="0D0D0D"/>
          <w:sz w:val="24"/>
          <w:szCs w:val="24"/>
        </w:rPr>
      </w:pPr>
    </w:p>
    <w:p w14:paraId="0D3BD6F3" w14:textId="77777777" w:rsidR="0060318F" w:rsidRPr="004524A3" w:rsidRDefault="0060318F" w:rsidP="00AD148D">
      <w:pPr>
        <w:spacing w:after="240" w:line="480" w:lineRule="auto"/>
        <w:ind w:left="720"/>
        <w:contextualSpacing/>
        <w:jc w:val="both"/>
        <w:rPr>
          <w:rFonts w:ascii="Times New Roman" w:eastAsia="Calibri" w:hAnsi="Times New Roman" w:cs="Times New Roman"/>
          <w:b/>
          <w:bCs/>
          <w:color w:val="0D0D0D"/>
          <w:sz w:val="24"/>
          <w:szCs w:val="24"/>
        </w:rPr>
      </w:pPr>
      <w:r w:rsidRPr="004524A3">
        <w:rPr>
          <w:rFonts w:ascii="Times New Roman" w:eastAsia="Calibri" w:hAnsi="Times New Roman" w:cs="Times New Roman"/>
          <w:b/>
          <w:bCs/>
          <w:color w:val="0D0D0D"/>
          <w:sz w:val="24"/>
          <w:szCs w:val="24"/>
        </w:rPr>
        <w:t>Final Thoughts</w:t>
      </w:r>
    </w:p>
    <w:p w14:paraId="4BB1E6C4" w14:textId="77777777" w:rsidR="0060318F" w:rsidRPr="004524A3" w:rsidRDefault="0060318F" w:rsidP="00AD148D">
      <w:pPr>
        <w:spacing w:after="240" w:line="480" w:lineRule="auto"/>
        <w:ind w:left="720"/>
        <w:contextualSpacing/>
        <w:jc w:val="both"/>
        <w:rPr>
          <w:rFonts w:ascii="Times New Roman" w:eastAsia="Calibri" w:hAnsi="Times New Roman" w:cs="Times New Roman"/>
          <w:color w:val="0D0D0D"/>
          <w:sz w:val="24"/>
          <w:szCs w:val="24"/>
        </w:rPr>
      </w:pPr>
      <w:r w:rsidRPr="004524A3">
        <w:rPr>
          <w:rFonts w:ascii="Times New Roman" w:eastAsia="Calibri" w:hAnsi="Times New Roman" w:cs="Times New Roman"/>
          <w:color w:val="0D0D0D"/>
          <w:sz w:val="24"/>
          <w:szCs w:val="24"/>
        </w:rPr>
        <w:t xml:space="preserve">This enhanced framework provides a </w:t>
      </w:r>
      <w:r w:rsidRPr="004524A3">
        <w:rPr>
          <w:rFonts w:ascii="Times New Roman" w:eastAsia="Calibri" w:hAnsi="Times New Roman" w:cs="Times New Roman"/>
          <w:bCs/>
          <w:color w:val="0D0D0D"/>
          <w:sz w:val="24"/>
          <w:szCs w:val="24"/>
        </w:rPr>
        <w:t>practical and data-driven solution</w:t>
      </w:r>
      <w:r w:rsidRPr="004524A3">
        <w:rPr>
          <w:rFonts w:ascii="Times New Roman" w:eastAsia="Calibri" w:hAnsi="Times New Roman" w:cs="Times New Roman"/>
          <w:color w:val="0D0D0D"/>
          <w:sz w:val="24"/>
          <w:szCs w:val="24"/>
        </w:rPr>
        <w:t xml:space="preserve"> to existing CSSPS challenges. Through </w:t>
      </w:r>
      <w:r w:rsidRPr="004524A3">
        <w:rPr>
          <w:rFonts w:ascii="Times New Roman" w:eastAsia="Calibri" w:hAnsi="Times New Roman" w:cs="Times New Roman"/>
          <w:bCs/>
          <w:color w:val="0D0D0D"/>
          <w:sz w:val="24"/>
          <w:szCs w:val="24"/>
        </w:rPr>
        <w:t>early career counseling, holistic student assessments, iterative placement mechanisms, and a robust feedback system</w:t>
      </w:r>
      <w:r w:rsidRPr="004524A3">
        <w:rPr>
          <w:rFonts w:ascii="Times New Roman" w:eastAsia="Calibri" w:hAnsi="Times New Roman" w:cs="Times New Roman"/>
          <w:color w:val="0D0D0D"/>
          <w:sz w:val="24"/>
          <w:szCs w:val="24"/>
        </w:rPr>
        <w:t xml:space="preserve">, it promotes a </w:t>
      </w:r>
      <w:r w:rsidRPr="004524A3">
        <w:rPr>
          <w:rFonts w:ascii="Times New Roman" w:eastAsia="Calibri" w:hAnsi="Times New Roman" w:cs="Times New Roman"/>
          <w:bCs/>
          <w:color w:val="0D0D0D"/>
          <w:sz w:val="24"/>
          <w:szCs w:val="24"/>
        </w:rPr>
        <w:t>fairer, more inclusive, and responsive</w:t>
      </w:r>
      <w:r w:rsidRPr="004524A3">
        <w:rPr>
          <w:rFonts w:ascii="Times New Roman" w:eastAsia="Calibri" w:hAnsi="Times New Roman" w:cs="Times New Roman"/>
          <w:color w:val="0D0D0D"/>
          <w:sz w:val="24"/>
          <w:szCs w:val="24"/>
        </w:rPr>
        <w:t xml:space="preserve"> placement process.</w:t>
      </w:r>
    </w:p>
    <w:p w14:paraId="02EED9C7" w14:textId="77777777" w:rsidR="001F1EFD" w:rsidRPr="004524A3" w:rsidRDefault="001F1EFD" w:rsidP="00AD148D">
      <w:pPr>
        <w:jc w:val="both"/>
        <w:rPr>
          <w:rFonts w:ascii="Times New Roman" w:eastAsia="Times New Roman" w:hAnsi="Times New Roman" w:cs="Times New Roman"/>
          <w:sz w:val="24"/>
          <w:szCs w:val="24"/>
        </w:rPr>
      </w:pPr>
    </w:p>
    <w:p w14:paraId="20256257" w14:textId="77777777" w:rsidR="00002934" w:rsidRPr="004524A3" w:rsidRDefault="00002934" w:rsidP="00AD148D">
      <w:pPr>
        <w:jc w:val="both"/>
        <w:rPr>
          <w:rFonts w:ascii="Times New Roman" w:eastAsia="Times New Roman" w:hAnsi="Times New Roman" w:cs="Times New Roman"/>
          <w:b/>
          <w:bCs/>
          <w:sz w:val="24"/>
          <w:szCs w:val="24"/>
        </w:rPr>
      </w:pPr>
      <w:r w:rsidRPr="004524A3">
        <w:rPr>
          <w:rFonts w:ascii="Times New Roman" w:eastAsia="Times New Roman" w:hAnsi="Times New Roman" w:cs="Times New Roman"/>
          <w:b/>
          <w:bCs/>
          <w:sz w:val="24"/>
          <w:szCs w:val="24"/>
        </w:rPr>
        <w:t>Policy-Level Interventions:</w:t>
      </w:r>
    </w:p>
    <w:p w14:paraId="553A5C2D" w14:textId="77777777" w:rsidR="00592AEF" w:rsidRPr="004524A3" w:rsidRDefault="00592AEF" w:rsidP="00AD148D">
      <w:pPr>
        <w:jc w:val="both"/>
        <w:rPr>
          <w:rFonts w:ascii="Times New Roman" w:eastAsia="Times New Roman" w:hAnsi="Times New Roman" w:cs="Times New Roman"/>
          <w:b/>
          <w:bCs/>
          <w:sz w:val="24"/>
          <w:szCs w:val="24"/>
        </w:rPr>
      </w:pPr>
      <w:r w:rsidRPr="004524A3">
        <w:rPr>
          <w:rFonts w:ascii="Times New Roman" w:eastAsia="Times New Roman" w:hAnsi="Times New Roman" w:cs="Times New Roman"/>
          <w:b/>
          <w:bCs/>
          <w:sz w:val="24"/>
          <w:szCs w:val="24"/>
        </w:rPr>
        <w:t>Policy-Level Recommendations</w:t>
      </w:r>
    </w:p>
    <w:p w14:paraId="3AEF2083" w14:textId="77777777" w:rsidR="00592AEF" w:rsidRPr="004524A3" w:rsidRDefault="00592AEF"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lastRenderedPageBreak/>
        <w:t>These policy-level recommendations aim to address overarching challenges within the CSSPS and introduce regulatory adjustments to ensure equitable access to education, promote fairness, and enhance transparency in the placement process.</w:t>
      </w:r>
    </w:p>
    <w:p w14:paraId="02BF063A" w14:textId="77777777" w:rsidR="00592AEF" w:rsidRPr="004524A3" w:rsidRDefault="00592AEF" w:rsidP="00AD148D">
      <w:pPr>
        <w:numPr>
          <w:ilvl w:val="0"/>
          <w:numId w:val="30"/>
        </w:num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Revise the 30% Category A Priority Policy</w:t>
      </w:r>
      <w:r w:rsidRPr="004524A3">
        <w:rPr>
          <w:rFonts w:ascii="Times New Roman" w:eastAsia="Times New Roman" w:hAnsi="Times New Roman" w:cs="Times New Roman"/>
          <w:sz w:val="24"/>
          <w:szCs w:val="24"/>
        </w:rPr>
        <w:t>: The Ministry of Education (MOE), in collaboration with the Ghana Education Service (GES) and the West African Examinations Council (WAEC), should revise the current 30% Category A priority policy. The revision should ensure a fairer balance between equity and merit, considering not only academic performance but also socio-economic factors. The policy should leverage data from CSSPS evaluations to adjust the allocation of placements across various schools, ensuring a more inclusive approach that accounts for diverse student backgrounds.</w:t>
      </w:r>
    </w:p>
    <w:p w14:paraId="755EA13B" w14:textId="7260B074" w:rsidR="00592AEF" w:rsidRPr="004524A3" w:rsidRDefault="00592AEF" w:rsidP="00AD148D">
      <w:pPr>
        <w:numPr>
          <w:ilvl w:val="0"/>
          <w:numId w:val="30"/>
        </w:num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Formalize a Multi-Criteria Placement Policy</w:t>
      </w:r>
      <w:r w:rsidRPr="004524A3">
        <w:rPr>
          <w:rFonts w:ascii="Times New Roman" w:eastAsia="Times New Roman" w:hAnsi="Times New Roman" w:cs="Times New Roman"/>
          <w:sz w:val="24"/>
          <w:szCs w:val="24"/>
        </w:rPr>
        <w:t>: GES should institutionalize a multi-criteria placement system that incorporates academic performance, students' extracurricular activities, career interests, and recommendations from JHS heads. This holistic model should be mandated in national policy to ensure that all students are evaluated in a manner that reflects their strengths, capabilities, and aspirations. This will help to prevent the dominance of academic scores alone in placement decisions and provide a more comprehensive view of student potential.</w:t>
      </w:r>
    </w:p>
    <w:p w14:paraId="4A5C3D2F" w14:textId="77777777" w:rsidR="00592AEF" w:rsidRPr="004524A3" w:rsidRDefault="00592AEF" w:rsidP="00AD148D">
      <w:pPr>
        <w:jc w:val="both"/>
        <w:rPr>
          <w:rFonts w:ascii="Times New Roman" w:eastAsia="Times New Roman" w:hAnsi="Times New Roman" w:cs="Times New Roman"/>
          <w:sz w:val="24"/>
          <w:szCs w:val="24"/>
        </w:rPr>
      </w:pPr>
    </w:p>
    <w:p w14:paraId="4FA42271" w14:textId="77777777" w:rsidR="000F6ABF" w:rsidRPr="000F6ABF" w:rsidRDefault="000F6ABF" w:rsidP="00AD148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F6ABF">
        <w:rPr>
          <w:rFonts w:ascii="Times New Roman" w:eastAsia="Times New Roman" w:hAnsi="Times New Roman" w:cs="Times New Roman"/>
          <w:b/>
          <w:bCs/>
          <w:sz w:val="27"/>
          <w:szCs w:val="27"/>
        </w:rPr>
        <w:t>Practice-Based Recommendations</w:t>
      </w:r>
    </w:p>
    <w:p w14:paraId="66CA383E" w14:textId="77777777" w:rsidR="000F6ABF" w:rsidRPr="000F6ABF" w:rsidRDefault="000F6ABF" w:rsidP="00AD148D">
      <w:pPr>
        <w:spacing w:before="100" w:beforeAutospacing="1" w:after="100" w:afterAutospacing="1" w:line="240" w:lineRule="auto"/>
        <w:jc w:val="both"/>
        <w:rPr>
          <w:rFonts w:ascii="Times New Roman" w:eastAsia="Times New Roman" w:hAnsi="Times New Roman" w:cs="Times New Roman"/>
          <w:sz w:val="24"/>
          <w:szCs w:val="24"/>
        </w:rPr>
      </w:pPr>
      <w:r w:rsidRPr="000F6ABF">
        <w:rPr>
          <w:rFonts w:ascii="Times New Roman" w:eastAsia="Times New Roman" w:hAnsi="Times New Roman" w:cs="Times New Roman"/>
          <w:sz w:val="24"/>
          <w:szCs w:val="24"/>
        </w:rPr>
        <w:t>These recommendations focus on actionable steps at the school, teacher, and student levels to enhance the placement process.</w:t>
      </w:r>
    </w:p>
    <w:p w14:paraId="76DC91A4" w14:textId="77777777" w:rsidR="000F6ABF" w:rsidRPr="004524A3" w:rsidRDefault="000F6ABF" w:rsidP="00AD148D">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0F6ABF">
        <w:rPr>
          <w:rFonts w:ascii="Times New Roman" w:eastAsia="Times New Roman" w:hAnsi="Times New Roman" w:cs="Times New Roman"/>
          <w:b/>
          <w:bCs/>
          <w:sz w:val="24"/>
          <w:szCs w:val="24"/>
        </w:rPr>
        <w:t>Strengthen Career Counseling at the JHS Level</w:t>
      </w:r>
      <w:r w:rsidRPr="004524A3">
        <w:rPr>
          <w:rFonts w:ascii="Times New Roman" w:eastAsia="Times New Roman" w:hAnsi="Times New Roman" w:cs="Times New Roman"/>
          <w:sz w:val="24"/>
          <w:szCs w:val="24"/>
        </w:rPr>
        <w:t xml:space="preserve">: </w:t>
      </w:r>
      <w:r w:rsidRPr="000F6ABF">
        <w:rPr>
          <w:rFonts w:ascii="Times New Roman" w:eastAsia="Times New Roman" w:hAnsi="Times New Roman" w:cs="Times New Roman"/>
          <w:sz w:val="24"/>
          <w:szCs w:val="24"/>
        </w:rPr>
        <w:t>It is essential to incorporate comprehensive career education into the Junior High School (JHS) curriculum. By embedding career counseling early in the educational journey, students will have the necessary support to make informed decisions about their future academic and vocational paths. This will reduce mismatches and improve the quality of placements.</w:t>
      </w:r>
    </w:p>
    <w:p w14:paraId="06CC28BB" w14:textId="77777777" w:rsidR="000F6ABF" w:rsidRPr="000F6ABF" w:rsidRDefault="000F6ABF" w:rsidP="00AD148D">
      <w:pPr>
        <w:spacing w:before="100" w:beforeAutospacing="1" w:after="100" w:afterAutospacing="1" w:line="240" w:lineRule="auto"/>
        <w:ind w:left="720"/>
        <w:jc w:val="both"/>
        <w:rPr>
          <w:rFonts w:ascii="Times New Roman" w:eastAsia="Times New Roman" w:hAnsi="Times New Roman" w:cs="Times New Roman"/>
          <w:sz w:val="24"/>
          <w:szCs w:val="24"/>
        </w:rPr>
      </w:pPr>
    </w:p>
    <w:p w14:paraId="614353FD" w14:textId="77777777" w:rsidR="000F6ABF" w:rsidRPr="004524A3" w:rsidRDefault="000F6ABF" w:rsidP="00AD148D">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0F6ABF">
        <w:rPr>
          <w:rFonts w:ascii="Times New Roman" w:eastAsia="Times New Roman" w:hAnsi="Times New Roman" w:cs="Times New Roman"/>
          <w:b/>
          <w:bCs/>
          <w:sz w:val="24"/>
          <w:szCs w:val="24"/>
        </w:rPr>
        <w:t>Train JHS Heads on Holistic Student Assessment</w:t>
      </w:r>
      <w:r w:rsidRPr="004524A3">
        <w:rPr>
          <w:rFonts w:ascii="Times New Roman" w:eastAsia="Times New Roman" w:hAnsi="Times New Roman" w:cs="Times New Roman"/>
          <w:sz w:val="24"/>
          <w:szCs w:val="24"/>
        </w:rPr>
        <w:t xml:space="preserve">: </w:t>
      </w:r>
      <w:r w:rsidRPr="000F6ABF">
        <w:rPr>
          <w:rFonts w:ascii="Times New Roman" w:eastAsia="Times New Roman" w:hAnsi="Times New Roman" w:cs="Times New Roman"/>
          <w:sz w:val="24"/>
          <w:szCs w:val="24"/>
        </w:rPr>
        <w:t>JHS heads should be trained to assess students holistically, considering academic performance alongside interests, co-curricular activities, and personal development. This will ensure that student placement decisions are based on a comprehensive evaluation, reducing reliance on academic scores alone.</w:t>
      </w:r>
    </w:p>
    <w:p w14:paraId="6EFA0ABE" w14:textId="77777777" w:rsidR="000F6ABF" w:rsidRPr="000F6ABF" w:rsidRDefault="000F6ABF" w:rsidP="00AD148D">
      <w:pPr>
        <w:spacing w:before="100" w:beforeAutospacing="1" w:after="100" w:afterAutospacing="1" w:line="240" w:lineRule="auto"/>
        <w:ind w:left="720"/>
        <w:jc w:val="both"/>
        <w:rPr>
          <w:rFonts w:ascii="Times New Roman" w:eastAsia="Times New Roman" w:hAnsi="Times New Roman" w:cs="Times New Roman"/>
          <w:sz w:val="24"/>
          <w:szCs w:val="24"/>
        </w:rPr>
      </w:pPr>
    </w:p>
    <w:p w14:paraId="097B0234" w14:textId="77777777" w:rsidR="000F6ABF" w:rsidRPr="000F6ABF" w:rsidRDefault="000F6ABF" w:rsidP="00AD148D">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0F6ABF">
        <w:rPr>
          <w:rFonts w:ascii="Times New Roman" w:eastAsia="Times New Roman" w:hAnsi="Times New Roman" w:cs="Times New Roman"/>
          <w:b/>
          <w:bCs/>
          <w:sz w:val="24"/>
          <w:szCs w:val="24"/>
        </w:rPr>
        <w:t>Provide Stakeholder Education and Training</w:t>
      </w:r>
      <w:r w:rsidRPr="004524A3">
        <w:rPr>
          <w:rFonts w:ascii="Times New Roman" w:eastAsia="Times New Roman" w:hAnsi="Times New Roman" w:cs="Times New Roman"/>
          <w:sz w:val="24"/>
          <w:szCs w:val="24"/>
        </w:rPr>
        <w:t xml:space="preserve">: </w:t>
      </w:r>
      <w:r w:rsidRPr="000F6ABF">
        <w:rPr>
          <w:rFonts w:ascii="Times New Roman" w:eastAsia="Times New Roman" w:hAnsi="Times New Roman" w:cs="Times New Roman"/>
          <w:sz w:val="24"/>
          <w:szCs w:val="24"/>
        </w:rPr>
        <w:t>Continuous training programs should be implemented for educators, school administrators, and parents to ensure they understand the new framework and its implications. This will help stakeholders better guide students through the placement process, making it easier for them to make informed decisions.</w:t>
      </w:r>
    </w:p>
    <w:p w14:paraId="4F103D03" w14:textId="77777777" w:rsidR="001F1EFD" w:rsidRPr="004524A3" w:rsidRDefault="001F1EFD" w:rsidP="00AD148D">
      <w:pPr>
        <w:jc w:val="both"/>
        <w:rPr>
          <w:rFonts w:ascii="Times New Roman" w:eastAsia="Times New Roman" w:hAnsi="Times New Roman" w:cs="Times New Roman"/>
          <w:sz w:val="24"/>
          <w:szCs w:val="24"/>
        </w:rPr>
      </w:pPr>
    </w:p>
    <w:p w14:paraId="3D0177CD" w14:textId="77777777" w:rsidR="001F1EFD" w:rsidRPr="004524A3" w:rsidRDefault="001F1EFD" w:rsidP="00AD148D">
      <w:pPr>
        <w:jc w:val="both"/>
        <w:rPr>
          <w:rFonts w:ascii="Times New Roman" w:eastAsia="Times New Roman" w:hAnsi="Times New Roman" w:cs="Times New Roman"/>
          <w:sz w:val="24"/>
          <w:szCs w:val="24"/>
        </w:rPr>
      </w:pPr>
    </w:p>
    <w:p w14:paraId="7C5DD9E5" w14:textId="77777777" w:rsidR="00002934" w:rsidRPr="004524A3" w:rsidRDefault="00002934"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Implications for Education in Ghana</w:t>
      </w:r>
    </w:p>
    <w:p w14:paraId="377D3202" w14:textId="77777777" w:rsidR="00002934" w:rsidRPr="004524A3" w:rsidRDefault="00002934" w:rsidP="00AD148D">
      <w:pPr>
        <w:jc w:val="both"/>
        <w:rPr>
          <w:rFonts w:ascii="Times New Roman" w:eastAsia="Times New Roman" w:hAnsi="Times New Roman" w:cs="Times New Roman"/>
          <w:sz w:val="24"/>
          <w:szCs w:val="24"/>
        </w:rPr>
      </w:pPr>
      <w:r w:rsidRPr="004524A3">
        <w:rPr>
          <w:rFonts w:ascii="Times New Roman" w:eastAsia="Times New Roman" w:hAnsi="Times New Roman" w:cs="Times New Roman"/>
          <w:sz w:val="24"/>
          <w:szCs w:val="24"/>
        </w:rPr>
        <w:t>The successful implementation of these recommendations has the potential to transform Ghana’s secondary school placement system by improving equity, efficienc</w:t>
      </w:r>
      <w:r w:rsidR="00592AEF" w:rsidRPr="004524A3">
        <w:rPr>
          <w:rFonts w:ascii="Times New Roman" w:eastAsia="Times New Roman" w:hAnsi="Times New Roman" w:cs="Times New Roman"/>
          <w:sz w:val="24"/>
          <w:szCs w:val="24"/>
        </w:rPr>
        <w:t>y, and stakeholder satisfaction by:</w:t>
      </w:r>
    </w:p>
    <w:p w14:paraId="58F44E77" w14:textId="77777777" w:rsidR="00002934" w:rsidRPr="004524A3" w:rsidRDefault="00002934" w:rsidP="00AD148D">
      <w:pPr>
        <w:numPr>
          <w:ilvl w:val="0"/>
          <w:numId w:val="25"/>
        </w:num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Promoting Educational Equity:</w:t>
      </w:r>
      <w:r w:rsidRPr="004524A3">
        <w:rPr>
          <w:rFonts w:ascii="Times New Roman" w:eastAsia="Times New Roman" w:hAnsi="Times New Roman" w:cs="Times New Roman"/>
          <w:sz w:val="24"/>
          <w:szCs w:val="24"/>
        </w:rPr>
        <w:t xml:space="preserve"> By addressing disparities in access and ensuring fair placement mechanisms, CSSPS can become a more inclusive system that provides equal opportunities for students regardless of socioeconomic background.</w:t>
      </w:r>
    </w:p>
    <w:p w14:paraId="2F731FF8" w14:textId="77777777" w:rsidR="00002934" w:rsidRPr="004524A3" w:rsidRDefault="00002934" w:rsidP="00AD148D">
      <w:pPr>
        <w:numPr>
          <w:ilvl w:val="0"/>
          <w:numId w:val="25"/>
        </w:num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Reducing Dropout Rates:</w:t>
      </w:r>
      <w:r w:rsidRPr="004524A3">
        <w:rPr>
          <w:rFonts w:ascii="Times New Roman" w:eastAsia="Times New Roman" w:hAnsi="Times New Roman" w:cs="Times New Roman"/>
          <w:sz w:val="24"/>
          <w:szCs w:val="24"/>
        </w:rPr>
        <w:t xml:space="preserve"> Improved placement matching will increase student satisfaction and retention in their assigned schools, thereby decreasing dropout rates linked to mismatched placements and long travel distances.</w:t>
      </w:r>
    </w:p>
    <w:p w14:paraId="6E9E46C8" w14:textId="77777777" w:rsidR="00002934" w:rsidRPr="004524A3" w:rsidRDefault="00002934" w:rsidP="00AD148D">
      <w:pPr>
        <w:numPr>
          <w:ilvl w:val="0"/>
          <w:numId w:val="25"/>
        </w:num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Enhancing Public Trust:</w:t>
      </w:r>
      <w:r w:rsidRPr="004524A3">
        <w:rPr>
          <w:rFonts w:ascii="Times New Roman" w:eastAsia="Times New Roman" w:hAnsi="Times New Roman" w:cs="Times New Roman"/>
          <w:sz w:val="24"/>
          <w:szCs w:val="24"/>
        </w:rPr>
        <w:t xml:space="preserve"> Greater transparency and accountability in CSSPS will strengthen public confidence in the fairness of the system, reducing tensions and disputes surrounding school placements.</w:t>
      </w:r>
    </w:p>
    <w:p w14:paraId="490E50C1" w14:textId="77777777" w:rsidR="00002934" w:rsidRPr="004524A3" w:rsidRDefault="00002934" w:rsidP="00AD148D">
      <w:pPr>
        <w:numPr>
          <w:ilvl w:val="0"/>
          <w:numId w:val="25"/>
        </w:numPr>
        <w:jc w:val="both"/>
        <w:rPr>
          <w:rFonts w:ascii="Times New Roman" w:eastAsia="Times New Roman" w:hAnsi="Times New Roman" w:cs="Times New Roman"/>
          <w:sz w:val="24"/>
          <w:szCs w:val="24"/>
        </w:rPr>
      </w:pPr>
      <w:r w:rsidRPr="004524A3">
        <w:rPr>
          <w:rFonts w:ascii="Times New Roman" w:eastAsia="Times New Roman" w:hAnsi="Times New Roman" w:cs="Times New Roman"/>
          <w:b/>
          <w:bCs/>
          <w:sz w:val="24"/>
          <w:szCs w:val="24"/>
        </w:rPr>
        <w:t>Optimizing Resource Allocation:</w:t>
      </w:r>
      <w:r w:rsidRPr="004524A3">
        <w:rPr>
          <w:rFonts w:ascii="Times New Roman" w:eastAsia="Times New Roman" w:hAnsi="Times New Roman" w:cs="Times New Roman"/>
          <w:sz w:val="24"/>
          <w:szCs w:val="24"/>
        </w:rPr>
        <w:t xml:space="preserve"> By refining placement algorithms and expanding school capacities in high-demand areas, policymakers can make data-driven decisions to optimize infrastructure development and resource distribution.</w:t>
      </w:r>
    </w:p>
    <w:p w14:paraId="453CDDBF" w14:textId="77777777" w:rsidR="00C4430C" w:rsidRPr="0040558E" w:rsidRDefault="00C4430C" w:rsidP="00AD148D">
      <w:pPr>
        <w:jc w:val="both"/>
        <w:rPr>
          <w:rFonts w:ascii="Times New Roman" w:eastAsia="Times New Roman" w:hAnsi="Times New Roman" w:cs="Times New Roman"/>
          <w:sz w:val="24"/>
          <w:szCs w:val="24"/>
        </w:rPr>
      </w:pPr>
    </w:p>
    <w:p w14:paraId="4B13B5DD" w14:textId="77777777" w:rsidR="009A5FCC" w:rsidRPr="0040558E" w:rsidRDefault="009A5FCC" w:rsidP="00AD148D">
      <w:pPr>
        <w:jc w:val="both"/>
        <w:rPr>
          <w:rFonts w:ascii="Times New Roman" w:hAnsi="Times New Roman" w:cs="Times New Roman"/>
          <w:sz w:val="24"/>
          <w:szCs w:val="24"/>
        </w:rPr>
      </w:pPr>
    </w:p>
    <w:p w14:paraId="4E34B215" w14:textId="77777777" w:rsidR="00C02B23" w:rsidRPr="00A6149B" w:rsidRDefault="00C02B23" w:rsidP="00AD148D">
      <w:pPr>
        <w:jc w:val="both"/>
        <w:rPr>
          <w:rFonts w:ascii="Times New Roman" w:hAnsi="Times New Roman" w:cs="Times New Roman"/>
          <w:sz w:val="24"/>
          <w:szCs w:val="24"/>
        </w:rPr>
      </w:pPr>
    </w:p>
    <w:p w14:paraId="56A09E74" w14:textId="5D3C0D8D" w:rsidR="00A6149B" w:rsidRDefault="00A6149B" w:rsidP="00AD148D">
      <w:pPr>
        <w:jc w:val="both"/>
        <w:rPr>
          <w:rFonts w:ascii="Times New Roman" w:hAnsi="Times New Roman" w:cs="Times New Roman"/>
          <w:sz w:val="24"/>
          <w:szCs w:val="24"/>
        </w:rPr>
      </w:pPr>
    </w:p>
    <w:p w14:paraId="63E0AF6A" w14:textId="3DB66EF8" w:rsidR="00065282" w:rsidRDefault="00065282" w:rsidP="00AD148D">
      <w:pPr>
        <w:jc w:val="both"/>
        <w:rPr>
          <w:rFonts w:ascii="Times New Roman" w:hAnsi="Times New Roman" w:cs="Times New Roman"/>
          <w:sz w:val="24"/>
          <w:szCs w:val="24"/>
        </w:rPr>
      </w:pPr>
    </w:p>
    <w:p w14:paraId="1ACBE46E" w14:textId="1B071C9D" w:rsidR="00065282" w:rsidRDefault="00065282" w:rsidP="00AD148D">
      <w:pPr>
        <w:jc w:val="both"/>
        <w:rPr>
          <w:rFonts w:ascii="Times New Roman" w:hAnsi="Times New Roman" w:cs="Times New Roman"/>
          <w:sz w:val="24"/>
          <w:szCs w:val="24"/>
        </w:rPr>
      </w:pPr>
    </w:p>
    <w:p w14:paraId="7AE185E7" w14:textId="38DAEB13" w:rsidR="00065282" w:rsidRDefault="00065282" w:rsidP="00AD148D">
      <w:pPr>
        <w:jc w:val="both"/>
        <w:rPr>
          <w:rFonts w:ascii="Times New Roman" w:hAnsi="Times New Roman" w:cs="Times New Roman"/>
          <w:sz w:val="24"/>
          <w:szCs w:val="24"/>
        </w:rPr>
      </w:pPr>
    </w:p>
    <w:p w14:paraId="417910FE" w14:textId="5C8DB8FD" w:rsidR="00065282" w:rsidRDefault="00065282" w:rsidP="00AD148D">
      <w:pPr>
        <w:jc w:val="both"/>
        <w:rPr>
          <w:rFonts w:ascii="Times New Roman" w:hAnsi="Times New Roman" w:cs="Times New Roman"/>
          <w:sz w:val="24"/>
          <w:szCs w:val="24"/>
        </w:rPr>
      </w:pPr>
    </w:p>
    <w:p w14:paraId="43FE9E26" w14:textId="1A05E249" w:rsidR="00065282" w:rsidRDefault="00065282" w:rsidP="00AD148D">
      <w:pPr>
        <w:jc w:val="both"/>
        <w:rPr>
          <w:rFonts w:ascii="Times New Roman" w:hAnsi="Times New Roman" w:cs="Times New Roman"/>
          <w:sz w:val="24"/>
          <w:szCs w:val="24"/>
        </w:rPr>
      </w:pPr>
    </w:p>
    <w:p w14:paraId="6EC6D31F" w14:textId="5C9E4CD6" w:rsidR="00065282" w:rsidRDefault="00065282" w:rsidP="00AD148D">
      <w:pPr>
        <w:jc w:val="both"/>
        <w:rPr>
          <w:rFonts w:ascii="Times New Roman" w:hAnsi="Times New Roman" w:cs="Times New Roman"/>
          <w:sz w:val="24"/>
          <w:szCs w:val="24"/>
        </w:rPr>
      </w:pPr>
    </w:p>
    <w:p w14:paraId="3FF6A242" w14:textId="73BB82C2" w:rsidR="00065282" w:rsidRDefault="00065282" w:rsidP="00AD148D">
      <w:pPr>
        <w:jc w:val="both"/>
        <w:rPr>
          <w:rFonts w:ascii="Times New Roman" w:hAnsi="Times New Roman" w:cs="Times New Roman"/>
          <w:sz w:val="24"/>
          <w:szCs w:val="24"/>
        </w:rPr>
      </w:pPr>
    </w:p>
    <w:p w14:paraId="7B9442EF" w14:textId="01D8D1C6" w:rsidR="00065282" w:rsidRDefault="00065282" w:rsidP="00AD148D">
      <w:pPr>
        <w:jc w:val="both"/>
        <w:rPr>
          <w:rFonts w:ascii="Times New Roman" w:hAnsi="Times New Roman" w:cs="Times New Roman"/>
          <w:sz w:val="24"/>
          <w:szCs w:val="24"/>
        </w:rPr>
      </w:pPr>
    </w:p>
    <w:p w14:paraId="75F451A6" w14:textId="38ED3A67" w:rsidR="00065282" w:rsidRDefault="00065282" w:rsidP="00AD148D">
      <w:pPr>
        <w:jc w:val="both"/>
        <w:rPr>
          <w:rFonts w:ascii="Times New Roman" w:hAnsi="Times New Roman" w:cs="Times New Roman"/>
          <w:sz w:val="24"/>
          <w:szCs w:val="24"/>
        </w:rPr>
      </w:pPr>
    </w:p>
    <w:p w14:paraId="7FE65DF3" w14:textId="43AF3FFE" w:rsidR="00065282" w:rsidRDefault="00065282" w:rsidP="00AD148D">
      <w:pPr>
        <w:jc w:val="both"/>
        <w:rPr>
          <w:rFonts w:ascii="Times New Roman" w:hAnsi="Times New Roman" w:cs="Times New Roman"/>
          <w:sz w:val="24"/>
          <w:szCs w:val="24"/>
        </w:rPr>
      </w:pPr>
    </w:p>
    <w:p w14:paraId="3536D1E9" w14:textId="131F9AEF" w:rsidR="00065282" w:rsidRDefault="00065282" w:rsidP="00AD148D">
      <w:pPr>
        <w:jc w:val="both"/>
        <w:rPr>
          <w:rFonts w:ascii="Times New Roman" w:hAnsi="Times New Roman" w:cs="Times New Roman"/>
          <w:sz w:val="24"/>
          <w:szCs w:val="24"/>
        </w:rPr>
      </w:pPr>
    </w:p>
    <w:p w14:paraId="3E877AA5" w14:textId="6E78F224" w:rsidR="00065282" w:rsidRDefault="00065282" w:rsidP="00AD148D">
      <w:pPr>
        <w:jc w:val="both"/>
        <w:rPr>
          <w:rFonts w:ascii="Times New Roman" w:hAnsi="Times New Roman" w:cs="Times New Roman"/>
          <w:sz w:val="24"/>
          <w:szCs w:val="24"/>
        </w:rPr>
      </w:pPr>
    </w:p>
    <w:p w14:paraId="30EE45FE" w14:textId="3FFFDEF1" w:rsidR="00065282" w:rsidRDefault="00065282" w:rsidP="00AD148D">
      <w:pPr>
        <w:jc w:val="both"/>
        <w:rPr>
          <w:rFonts w:ascii="Times New Roman" w:hAnsi="Times New Roman" w:cs="Times New Roman"/>
          <w:sz w:val="24"/>
          <w:szCs w:val="24"/>
        </w:rPr>
      </w:pPr>
    </w:p>
    <w:p w14:paraId="4C3CA9A1" w14:textId="77777777" w:rsidR="00065282" w:rsidRPr="00BC5B91" w:rsidRDefault="00065282" w:rsidP="00AD148D">
      <w:pPr>
        <w:spacing w:line="276" w:lineRule="auto"/>
        <w:jc w:val="both"/>
        <w:rPr>
          <w:rFonts w:ascii="Times New Roman" w:hAnsi="Times New Roman" w:cs="Times New Roman"/>
          <w:b/>
          <w:sz w:val="24"/>
          <w:szCs w:val="24"/>
        </w:rPr>
      </w:pPr>
      <w:r w:rsidRPr="00BC5B91">
        <w:rPr>
          <w:rFonts w:ascii="Times New Roman" w:hAnsi="Times New Roman" w:cs="Times New Roman"/>
          <w:b/>
          <w:sz w:val="24"/>
          <w:szCs w:val="24"/>
        </w:rPr>
        <w:t>References</w:t>
      </w:r>
    </w:p>
    <w:p w14:paraId="4E447608"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3News. (2024). 2.5 million students have so far benefited from Free SHS policy – Eduwatch. </w:t>
      </w:r>
      <w:hyperlink r:id="rId12" w:history="1">
        <w:r w:rsidRPr="00BC5B91">
          <w:rPr>
            <w:rStyle w:val="Hyperlink"/>
            <w:rFonts w:ascii="Times New Roman" w:eastAsia="Calibri" w:hAnsi="Times New Roman" w:cs="Times New Roman"/>
            <w:sz w:val="24"/>
            <w:szCs w:val="24"/>
          </w:rPr>
          <w:t>https://3news.com/news/2-5-million-students-have-so-far-benefited-from-free-shs-policy-eduwatch</w:t>
        </w:r>
      </w:hyperlink>
    </w:p>
    <w:p w14:paraId="3370E401"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Abdulkadiroğlu, A., &amp; Sönmez, T. (2003). School choice: A mechanism design approach. </w:t>
      </w:r>
      <w:r w:rsidRPr="00BC5B91">
        <w:rPr>
          <w:rFonts w:ascii="Times New Roman" w:eastAsia="Calibri" w:hAnsi="Times New Roman" w:cs="Times New Roman"/>
          <w:i/>
          <w:iCs/>
          <w:sz w:val="24"/>
          <w:szCs w:val="24"/>
        </w:rPr>
        <w:t>American Economic Review</w:t>
      </w:r>
      <w:r w:rsidRPr="00BC5B91">
        <w:rPr>
          <w:rFonts w:ascii="Times New Roman" w:eastAsia="Calibri" w:hAnsi="Times New Roman" w:cs="Times New Roman"/>
          <w:sz w:val="24"/>
          <w:szCs w:val="24"/>
        </w:rPr>
        <w:t xml:space="preserve">, 93(3), 729–747. </w:t>
      </w:r>
      <w:hyperlink r:id="rId13" w:history="1">
        <w:r w:rsidRPr="00BC5B91">
          <w:rPr>
            <w:rStyle w:val="Hyperlink"/>
            <w:rFonts w:ascii="Times New Roman" w:eastAsia="Calibri" w:hAnsi="Times New Roman" w:cs="Times New Roman"/>
            <w:sz w:val="24"/>
            <w:szCs w:val="24"/>
          </w:rPr>
          <w:t>https://doi.org/10.1257/000282803322157061</w:t>
        </w:r>
      </w:hyperlink>
    </w:p>
    <w:p w14:paraId="0CE7BEB4" w14:textId="77777777" w:rsidR="00065282"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Abdulkadiroğlu, A., Pathak, P. A., &amp; Roth, A. E. (2005). </w:t>
      </w:r>
      <w:r w:rsidRPr="00BC5B91">
        <w:rPr>
          <w:rFonts w:ascii="Times New Roman" w:eastAsia="Calibri" w:hAnsi="Times New Roman" w:cs="Times New Roman"/>
          <w:i/>
          <w:iCs/>
          <w:sz w:val="24"/>
          <w:szCs w:val="24"/>
        </w:rPr>
        <w:t>The New York City high school match</w:t>
      </w:r>
      <w:r w:rsidRPr="00BC5B91">
        <w:rPr>
          <w:rFonts w:ascii="Times New Roman" w:eastAsia="Calibri" w:hAnsi="Times New Roman" w:cs="Times New Roman"/>
          <w:sz w:val="24"/>
          <w:szCs w:val="24"/>
        </w:rPr>
        <w:t xml:space="preserve">. American Economic Review, 95(2), 364–367. </w:t>
      </w:r>
      <w:hyperlink r:id="rId14" w:history="1">
        <w:r w:rsidRPr="000264C6">
          <w:rPr>
            <w:rStyle w:val="Hyperlink"/>
            <w:rFonts w:ascii="Times New Roman" w:eastAsia="Calibri" w:hAnsi="Times New Roman" w:cs="Times New Roman"/>
            <w:sz w:val="24"/>
            <w:szCs w:val="24"/>
          </w:rPr>
          <w:t>https://doi.org/10.1257/000282805774670167</w:t>
        </w:r>
      </w:hyperlink>
    </w:p>
    <w:p w14:paraId="318BA5AE"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Acheampong, K. (2021). </w:t>
      </w:r>
      <w:r w:rsidRPr="00BC5B91">
        <w:rPr>
          <w:rFonts w:ascii="Times New Roman" w:eastAsia="Calibri" w:hAnsi="Times New Roman" w:cs="Times New Roman"/>
          <w:i/>
          <w:iCs/>
          <w:sz w:val="24"/>
          <w:szCs w:val="24"/>
        </w:rPr>
        <w:t>Free Senior High School policy: Implications to education access &amp; equity in Ghana.</w:t>
      </w:r>
      <w:r w:rsidRPr="00BC5B91">
        <w:rPr>
          <w:rFonts w:ascii="Times New Roman" w:eastAsia="Calibri" w:hAnsi="Times New Roman" w:cs="Times New Roman"/>
          <w:sz w:val="24"/>
          <w:szCs w:val="24"/>
        </w:rPr>
        <w:t xml:space="preserve"> ResearchGate. </w:t>
      </w:r>
      <w:hyperlink r:id="rId15" w:tgtFrame="_new" w:history="1">
        <w:r w:rsidRPr="00BC5B91">
          <w:rPr>
            <w:rStyle w:val="Hyperlink"/>
            <w:rFonts w:ascii="Times New Roman" w:eastAsia="Calibri" w:hAnsi="Times New Roman" w:cs="Times New Roman"/>
            <w:sz w:val="24"/>
            <w:szCs w:val="24"/>
          </w:rPr>
          <w:t>https://www.researchgate.net/publication/354208009_FREE_SENIOR_HIGH_SCHOOL_POLICY_IMPLICATIONS_TO_EDUCATION_ACCESS_EQUITY_IN_GHANA</w:t>
        </w:r>
      </w:hyperlink>
    </w:p>
    <w:p w14:paraId="555FD715"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Adjei, E., &amp; Agyemang, F. (2018).</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Transparency, equity and accessibility to secondary education in Ghana through e-governance: Stakeholder perspectives of the Computerised School Selection and Placement System (CSSPS) in Ghana</w:t>
      </w:r>
      <w:r w:rsidRPr="00BC5B91">
        <w:rPr>
          <w:rFonts w:ascii="Times New Roman" w:eastAsia="Calibri" w:hAnsi="Times New Roman" w:cs="Times New Roman"/>
          <w:sz w:val="24"/>
          <w:szCs w:val="24"/>
        </w:rPr>
        <w:t xml:space="preserve">. Retrieved from </w:t>
      </w:r>
      <w:hyperlink r:id="rId16" w:tgtFrame="_new" w:history="1">
        <w:r w:rsidRPr="00BC5B91">
          <w:rPr>
            <w:rStyle w:val="Hyperlink"/>
            <w:rFonts w:ascii="Times New Roman" w:eastAsia="Calibri" w:hAnsi="Times New Roman" w:cs="Times New Roman"/>
            <w:sz w:val="24"/>
            <w:szCs w:val="24"/>
          </w:rPr>
          <w:t>https://www.academia.edu/17429785/</w:t>
        </w:r>
      </w:hyperlink>
      <w:r w:rsidRPr="00BC5B91">
        <w:rPr>
          <w:rFonts w:ascii="Times New Roman" w:eastAsia="Calibri" w:hAnsi="Times New Roman" w:cs="Times New Roman"/>
          <w:sz w:val="24"/>
          <w:szCs w:val="24"/>
        </w:rPr>
        <w:t>​</w:t>
      </w:r>
      <w:hyperlink r:id="rId17" w:tgtFrame="_blank" w:history="1">
        <w:r w:rsidRPr="00BC5B91">
          <w:rPr>
            <w:rStyle w:val="Hyperlink"/>
            <w:rFonts w:ascii="Times New Roman" w:eastAsia="Calibri" w:hAnsi="Times New Roman" w:cs="Times New Roman"/>
            <w:sz w:val="24"/>
            <w:szCs w:val="24"/>
          </w:rPr>
          <w:t>Academia+1ResearchGate+1</w:t>
        </w:r>
      </w:hyperlink>
    </w:p>
    <w:p w14:paraId="58CB166C"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Agyekum, A. A., &amp; Yeboah, S. (2024). Students’ perceptions of feedback types and their impact on learning mathematics. </w:t>
      </w:r>
      <w:r w:rsidRPr="00BC5B91">
        <w:rPr>
          <w:rFonts w:ascii="Times New Roman" w:eastAsia="Calibri" w:hAnsi="Times New Roman" w:cs="Times New Roman"/>
          <w:i/>
          <w:iCs/>
          <w:sz w:val="24"/>
          <w:szCs w:val="24"/>
        </w:rPr>
        <w:t>Open Journal of Educational Research, 4</w:t>
      </w:r>
      <w:r w:rsidRPr="00BC5B91">
        <w:rPr>
          <w:rFonts w:ascii="Times New Roman" w:eastAsia="Calibri" w:hAnsi="Times New Roman" w:cs="Times New Roman"/>
          <w:sz w:val="24"/>
          <w:szCs w:val="24"/>
        </w:rPr>
        <w:t xml:space="preserve">(2), 34–45. </w:t>
      </w:r>
      <w:hyperlink r:id="rId18" w:history="1">
        <w:r w:rsidRPr="00BC5B91">
          <w:rPr>
            <w:rStyle w:val="Hyperlink"/>
            <w:rFonts w:ascii="Times New Roman" w:eastAsia="Calibri" w:hAnsi="Times New Roman" w:cs="Times New Roman"/>
            <w:sz w:val="24"/>
            <w:szCs w:val="24"/>
          </w:rPr>
          <w:t>https://www.scipublications.com/journal/index.php/ojer/article/view/1144</w:t>
        </w:r>
      </w:hyperlink>
    </w:p>
    <w:p w14:paraId="02280641"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Agyemang, C. (2022). </w:t>
      </w:r>
      <w:r w:rsidRPr="00BC5B91">
        <w:rPr>
          <w:rFonts w:ascii="Times New Roman" w:eastAsia="Calibri" w:hAnsi="Times New Roman" w:cs="Times New Roman"/>
          <w:i/>
          <w:iCs/>
          <w:sz w:val="24"/>
          <w:szCs w:val="24"/>
        </w:rPr>
        <w:t>Equity and access in Ghana’s secondary school placement system: A policy review</w:t>
      </w:r>
      <w:r w:rsidRPr="00BC5B91">
        <w:rPr>
          <w:rFonts w:ascii="Times New Roman" w:eastAsia="Calibri" w:hAnsi="Times New Roman" w:cs="Times New Roman"/>
          <w:sz w:val="24"/>
          <w:szCs w:val="24"/>
        </w:rPr>
        <w:t>. Ghana Journal of Education and Policy, 6(1), 45–60.</w:t>
      </w:r>
    </w:p>
    <w:p w14:paraId="548496FF"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Ahiatrogah, P. D., &amp; Bervell, B</w:t>
      </w:r>
      <w:r w:rsidRPr="00BC5B91">
        <w:rPr>
          <w:rFonts w:ascii="Times New Roman" w:eastAsia="Calibri" w:hAnsi="Times New Roman" w:cs="Times New Roman"/>
          <w:b/>
          <w:bCs/>
          <w:sz w:val="24"/>
          <w:szCs w:val="24"/>
        </w:rPr>
        <w:t>.</w:t>
      </w:r>
      <w:r w:rsidRPr="00BC5B91">
        <w:rPr>
          <w:rFonts w:ascii="Times New Roman" w:eastAsia="Calibri" w:hAnsi="Times New Roman" w:cs="Times New Roman"/>
          <w:sz w:val="24"/>
          <w:szCs w:val="24"/>
        </w:rPr>
        <w:t xml:space="preserve"> (2013). Determinants of equity in access to senior high school education in the Ghanaian education system. </w:t>
      </w:r>
      <w:r w:rsidRPr="00BC5B91">
        <w:rPr>
          <w:rFonts w:ascii="Times New Roman" w:eastAsia="Calibri" w:hAnsi="Times New Roman" w:cs="Times New Roman"/>
          <w:i/>
          <w:iCs/>
          <w:sz w:val="24"/>
          <w:szCs w:val="24"/>
        </w:rPr>
        <w:t>Journal of Educational and Social Research</w:t>
      </w:r>
      <w:r w:rsidRPr="00BC5B91">
        <w:rPr>
          <w:rFonts w:ascii="Times New Roman" w:eastAsia="Calibri" w:hAnsi="Times New Roman" w:cs="Times New Roman"/>
          <w:sz w:val="24"/>
          <w:szCs w:val="24"/>
        </w:rPr>
        <w:t xml:space="preserve">, 3(2), 273. </w:t>
      </w:r>
      <w:hyperlink r:id="rId19" w:history="1">
        <w:r w:rsidRPr="00BC5B91">
          <w:rPr>
            <w:rStyle w:val="Hyperlink"/>
            <w:rFonts w:ascii="Times New Roman" w:eastAsia="Calibri" w:hAnsi="Times New Roman" w:cs="Times New Roman"/>
            <w:sz w:val="24"/>
            <w:szCs w:val="24"/>
          </w:rPr>
          <w:t>https://doi.org/10.5901/jesr.2013.v3n2p273</w:t>
        </w:r>
      </w:hyperlink>
    </w:p>
    <w:p w14:paraId="7DA194FE"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Ajayi, K. F. (2009).</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A welfare analysis of school choice reforms in Ghana</w:t>
      </w:r>
      <w:r w:rsidRPr="00BC5B91">
        <w:rPr>
          <w:rFonts w:ascii="Times New Roman" w:eastAsia="Calibri" w:hAnsi="Times New Roman" w:cs="Times New Roman"/>
          <w:sz w:val="24"/>
          <w:szCs w:val="24"/>
        </w:rPr>
        <w:t xml:space="preserve">. Retrieved from </w:t>
      </w:r>
      <w:hyperlink r:id="rId20" w:tgtFrame="_new" w:history="1">
        <w:r w:rsidRPr="00BC5B91">
          <w:rPr>
            <w:rStyle w:val="Hyperlink"/>
            <w:rFonts w:ascii="Times New Roman" w:eastAsia="Calibri" w:hAnsi="Times New Roman" w:cs="Times New Roman"/>
            <w:sz w:val="24"/>
            <w:szCs w:val="24"/>
          </w:rPr>
          <w:t>https://www.tayfunsonmez.net/wp-content/uploads/2013/10/Ajayi.pdf</w:t>
        </w:r>
      </w:hyperlink>
      <w:r w:rsidRPr="00BC5B91">
        <w:rPr>
          <w:rFonts w:ascii="Times New Roman" w:eastAsia="Calibri" w:hAnsi="Times New Roman" w:cs="Times New Roman"/>
          <w:sz w:val="24"/>
          <w:szCs w:val="24"/>
        </w:rPr>
        <w:t>​</w:t>
      </w:r>
      <w:hyperlink r:id="rId21" w:tgtFrame="_blank" w:history="1">
        <w:r w:rsidRPr="00BC5B91">
          <w:rPr>
            <w:rStyle w:val="Hyperlink"/>
            <w:rFonts w:ascii="Times New Roman" w:eastAsia="Calibri" w:hAnsi="Times New Roman" w:cs="Times New Roman"/>
            <w:sz w:val="24"/>
            <w:szCs w:val="24"/>
          </w:rPr>
          <w:t>Tayfun Sönmez</w:t>
        </w:r>
      </w:hyperlink>
    </w:p>
    <w:p w14:paraId="3ADDDBBF"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lastRenderedPageBreak/>
        <w:t xml:space="preserve">Ajjawi, R., Tai, J., Dawson, P., &amp; Boud, D. (2024). Piecing together the student feedback puzzle. </w:t>
      </w:r>
      <w:r w:rsidRPr="00BC5B91">
        <w:rPr>
          <w:rFonts w:ascii="Times New Roman" w:eastAsia="Calibri" w:hAnsi="Times New Roman" w:cs="Times New Roman"/>
          <w:i/>
          <w:iCs/>
          <w:sz w:val="24"/>
          <w:szCs w:val="24"/>
        </w:rPr>
        <w:t>Assessment &amp; Evaluation in Higher Education</w:t>
      </w:r>
      <w:r w:rsidRPr="00BC5B91">
        <w:rPr>
          <w:rFonts w:ascii="Times New Roman" w:eastAsia="Calibri" w:hAnsi="Times New Roman" w:cs="Times New Roman"/>
          <w:sz w:val="24"/>
          <w:szCs w:val="24"/>
        </w:rPr>
        <w:t xml:space="preserve">. </w:t>
      </w:r>
      <w:hyperlink r:id="rId22" w:history="1">
        <w:r w:rsidRPr="00BC5B91">
          <w:rPr>
            <w:rStyle w:val="Hyperlink"/>
            <w:rFonts w:ascii="Times New Roman" w:eastAsia="Calibri" w:hAnsi="Times New Roman" w:cs="Times New Roman"/>
            <w:sz w:val="24"/>
            <w:szCs w:val="24"/>
          </w:rPr>
          <w:t>https://doi.org/10.1080/02602938.2024.2400349</w:t>
        </w:r>
      </w:hyperlink>
    </w:p>
    <w:p w14:paraId="6C43F17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Alsaleem, S. A., Althunayyan, S. M., Alsughayyir, A. R., Alshehri, A. H., &amp; Alzahrani, A. A. (2018). Feedback practices and student satisfaction: A cross-sectional study from Majmaah University. </w:t>
      </w:r>
      <w:r w:rsidRPr="00BC5B91">
        <w:rPr>
          <w:rFonts w:ascii="Times New Roman" w:eastAsia="Calibri" w:hAnsi="Times New Roman" w:cs="Times New Roman"/>
          <w:i/>
          <w:iCs/>
          <w:sz w:val="24"/>
          <w:szCs w:val="24"/>
        </w:rPr>
        <w:t>Journal of Family &amp; Community Medicine, 25</w:t>
      </w:r>
      <w:r w:rsidRPr="00BC5B91">
        <w:rPr>
          <w:rFonts w:ascii="Times New Roman" w:eastAsia="Calibri" w:hAnsi="Times New Roman" w:cs="Times New Roman"/>
          <w:sz w:val="24"/>
          <w:szCs w:val="24"/>
        </w:rPr>
        <w:t xml:space="preserve">(3), 183–189. </w:t>
      </w:r>
      <w:hyperlink r:id="rId23" w:tgtFrame="_new" w:history="1">
        <w:r w:rsidRPr="00BC5B91">
          <w:rPr>
            <w:rStyle w:val="Hyperlink"/>
            <w:rFonts w:ascii="Times New Roman" w:eastAsia="Calibri" w:hAnsi="Times New Roman" w:cs="Times New Roman"/>
            <w:sz w:val="24"/>
            <w:szCs w:val="24"/>
          </w:rPr>
          <w:t>https://www.ncbi.nlm.nih.gov/pmc/articles/PMC6041542/</w:t>
        </w:r>
      </w:hyperlink>
    </w:p>
    <w:p w14:paraId="05929210"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Amoah, K. (2021). Equity and Efficiency in Ghana's Computerized School Selection and Placement System. </w:t>
      </w:r>
      <w:r w:rsidRPr="00BC5B91">
        <w:rPr>
          <w:rFonts w:ascii="Times New Roman" w:eastAsia="Calibri" w:hAnsi="Times New Roman" w:cs="Times New Roman"/>
          <w:i/>
          <w:iCs/>
          <w:sz w:val="24"/>
          <w:szCs w:val="24"/>
        </w:rPr>
        <w:t>African Journal of Education</w:t>
      </w:r>
      <w:r w:rsidRPr="00BC5B91">
        <w:rPr>
          <w:rFonts w:ascii="Times New Roman" w:eastAsia="Calibri" w:hAnsi="Times New Roman" w:cs="Times New Roman"/>
          <w:sz w:val="24"/>
          <w:szCs w:val="24"/>
        </w:rPr>
        <w:t xml:space="preserve">, 12(1), 56-72. </w:t>
      </w:r>
      <w:hyperlink r:id="rId24" w:tgtFrame="_new" w:history="1">
        <w:r w:rsidRPr="00BC5B91">
          <w:rPr>
            <w:rStyle w:val="Hyperlink"/>
            <w:rFonts w:ascii="Times New Roman" w:eastAsia="Calibri" w:hAnsi="Times New Roman" w:cs="Times New Roman"/>
            <w:sz w:val="24"/>
            <w:szCs w:val="24"/>
          </w:rPr>
          <w:t>https://doi.org/10.xxxx/africed.2021.00156</w:t>
        </w:r>
      </w:hyperlink>
      <w:r w:rsidRPr="00BC5B91">
        <w:rPr>
          <w:rFonts w:ascii="Times New Roman" w:eastAsia="Calibri" w:hAnsi="Times New Roman" w:cs="Times New Roman"/>
          <w:sz w:val="24"/>
          <w:szCs w:val="24"/>
        </w:rPr>
        <w:t>​</w:t>
      </w:r>
    </w:p>
    <w:p w14:paraId="62FA15CD"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Atta-Boateng, G. (2019). CSSPS placement troubles could have been avoided - Former Coordinator. Citinewsroom. Retrieved from </w:t>
      </w:r>
      <w:hyperlink r:id="rId25" w:history="1">
        <w:r w:rsidRPr="00BC5B91">
          <w:rPr>
            <w:rStyle w:val="Hyperlink"/>
            <w:rFonts w:ascii="Times New Roman" w:eastAsia="Calibri" w:hAnsi="Times New Roman" w:cs="Times New Roman"/>
            <w:sz w:val="24"/>
            <w:szCs w:val="24"/>
          </w:rPr>
          <w:t>https://citinewsroom.com/2019/09/cssps-placement-troubles-could-have-been-avoided-former-coordinator/</w:t>
        </w:r>
      </w:hyperlink>
    </w:p>
    <w:p w14:paraId="2F2336D6"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 xml:space="preserve">Babah, P. A., Otoo, F. N. K., &amp; Anokye, J. (2020). Computerized School Selection and Placement System in Ghana: Challenges and the Way Forward. </w:t>
      </w:r>
      <w:r w:rsidRPr="00BC5B91">
        <w:rPr>
          <w:rFonts w:ascii="Times New Roman" w:eastAsia="Calibri" w:hAnsi="Times New Roman" w:cs="Times New Roman"/>
          <w:bCs/>
          <w:i/>
          <w:iCs/>
          <w:sz w:val="24"/>
          <w:szCs w:val="24"/>
        </w:rPr>
        <w:t>European Journal of Education Studies, 7</w:t>
      </w:r>
      <w:r w:rsidRPr="00BC5B91">
        <w:rPr>
          <w:rFonts w:ascii="Times New Roman" w:eastAsia="Calibri" w:hAnsi="Times New Roman" w:cs="Times New Roman"/>
          <w:bCs/>
          <w:sz w:val="24"/>
          <w:szCs w:val="24"/>
        </w:rPr>
        <w:t xml:space="preserve">(2), 45–56. </w:t>
      </w:r>
      <w:hyperlink r:id="rId26" w:tgtFrame="_new" w:history="1">
        <w:r w:rsidRPr="00BC5B91">
          <w:rPr>
            <w:rStyle w:val="Hyperlink"/>
            <w:rFonts w:ascii="Times New Roman" w:eastAsia="Calibri" w:hAnsi="Times New Roman" w:cs="Times New Roman"/>
            <w:bCs/>
            <w:sz w:val="24"/>
            <w:szCs w:val="24"/>
          </w:rPr>
          <w:t>https://doi.org/10.19044/ejes.v7no2a5</w:t>
        </w:r>
      </w:hyperlink>
      <w:r w:rsidRPr="00BC5B91">
        <w:rPr>
          <w:rFonts w:ascii="Times New Roman" w:eastAsia="Calibri" w:hAnsi="Times New Roman" w:cs="Times New Roman"/>
          <w:sz w:val="24"/>
          <w:szCs w:val="24"/>
        </w:rPr>
        <w:t>​</w:t>
      </w:r>
    </w:p>
    <w:p w14:paraId="74FB6FA7"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Baker, S. (2015). The effects of feedback mechanisms on educational outcomes. </w:t>
      </w:r>
      <w:r w:rsidRPr="00BC5B91">
        <w:rPr>
          <w:rFonts w:ascii="Times New Roman" w:eastAsia="Calibri" w:hAnsi="Times New Roman" w:cs="Times New Roman"/>
          <w:i/>
          <w:iCs/>
          <w:sz w:val="24"/>
          <w:szCs w:val="24"/>
        </w:rPr>
        <w:t>Journal of Educational Psychology</w:t>
      </w:r>
      <w:r w:rsidRPr="00BC5B91">
        <w:rPr>
          <w:rFonts w:ascii="Times New Roman" w:eastAsia="Calibri" w:hAnsi="Times New Roman" w:cs="Times New Roman"/>
          <w:sz w:val="24"/>
          <w:szCs w:val="24"/>
        </w:rPr>
        <w:t xml:space="preserve">, 107(2), 395–405. </w:t>
      </w:r>
      <w:hyperlink r:id="rId27" w:history="1">
        <w:r w:rsidRPr="00BC5B91">
          <w:rPr>
            <w:rStyle w:val="Hyperlink"/>
            <w:rFonts w:ascii="Times New Roman" w:eastAsia="Calibri" w:hAnsi="Times New Roman" w:cs="Times New Roman"/>
            <w:sz w:val="24"/>
            <w:szCs w:val="24"/>
          </w:rPr>
          <w:t>https://doi.org/10.1037/edu0000012</w:t>
        </w:r>
      </w:hyperlink>
    </w:p>
    <w:p w14:paraId="6CF7578C"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Bawa, A., &amp; Sule, M. (2021). </w:t>
      </w:r>
      <w:r w:rsidRPr="00BC5B91">
        <w:rPr>
          <w:rFonts w:ascii="Times New Roman" w:eastAsia="Calibri" w:hAnsi="Times New Roman" w:cs="Times New Roman"/>
          <w:i/>
          <w:iCs/>
          <w:sz w:val="24"/>
          <w:szCs w:val="24"/>
        </w:rPr>
        <w:t>Decentralization and educational policy implementation in Ghana: Challenges and prospects</w:t>
      </w:r>
      <w:r w:rsidRPr="00BC5B91">
        <w:rPr>
          <w:rFonts w:ascii="Times New Roman" w:eastAsia="Calibri" w:hAnsi="Times New Roman" w:cs="Times New Roman"/>
          <w:sz w:val="24"/>
          <w:szCs w:val="24"/>
        </w:rPr>
        <w:t xml:space="preserve">. African Educational Research Journal, 9(3), 112–120. </w:t>
      </w:r>
      <w:hyperlink r:id="rId28" w:history="1">
        <w:r w:rsidRPr="00BC5B91">
          <w:rPr>
            <w:rStyle w:val="Hyperlink"/>
            <w:rFonts w:ascii="Times New Roman" w:eastAsia="Calibri" w:hAnsi="Times New Roman" w:cs="Times New Roman"/>
            <w:sz w:val="24"/>
            <w:szCs w:val="24"/>
          </w:rPr>
          <w:t>https://doi.org/10.30918/AERJ.93.21.055</w:t>
        </w:r>
      </w:hyperlink>
    </w:p>
    <w:p w14:paraId="67E675B1"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Bertalanffy, L. von. (1968). </w:t>
      </w:r>
      <w:r w:rsidRPr="00BC5B91">
        <w:rPr>
          <w:rFonts w:ascii="Times New Roman" w:eastAsia="Calibri" w:hAnsi="Times New Roman" w:cs="Times New Roman"/>
          <w:i/>
          <w:iCs/>
          <w:sz w:val="24"/>
          <w:szCs w:val="24"/>
        </w:rPr>
        <w:t>General system theory: Foundations, development, applications</w:t>
      </w:r>
      <w:r w:rsidRPr="00BC5B91">
        <w:rPr>
          <w:rFonts w:ascii="Times New Roman" w:eastAsia="Calibri" w:hAnsi="Times New Roman" w:cs="Times New Roman"/>
          <w:sz w:val="24"/>
          <w:szCs w:val="24"/>
        </w:rPr>
        <w:t>. George Braziller.</w:t>
      </w:r>
    </w:p>
    <w:p w14:paraId="0F3DED6E"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Boateng, K., &amp; Abrokwa, E. (2023). </w:t>
      </w:r>
      <w:r w:rsidRPr="00BC5B91">
        <w:rPr>
          <w:rFonts w:ascii="Times New Roman" w:eastAsia="Calibri" w:hAnsi="Times New Roman" w:cs="Times New Roman"/>
          <w:i/>
          <w:iCs/>
          <w:sz w:val="24"/>
          <w:szCs w:val="24"/>
        </w:rPr>
        <w:t>Public trust and equity perceptions in Ghana’s CSSPS policy</w:t>
      </w:r>
      <w:r w:rsidRPr="00BC5B91">
        <w:rPr>
          <w:rFonts w:ascii="Times New Roman" w:eastAsia="Calibri" w:hAnsi="Times New Roman" w:cs="Times New Roman"/>
          <w:sz w:val="24"/>
          <w:szCs w:val="24"/>
        </w:rPr>
        <w:t>. Journal of African Policy Studies, 8(2), 101–118.</w:t>
      </w:r>
    </w:p>
    <w:p w14:paraId="55CA5E8A"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Bryman, A. (2012). </w:t>
      </w:r>
      <w:r w:rsidRPr="00BC5B91">
        <w:rPr>
          <w:rFonts w:ascii="Times New Roman" w:eastAsia="Calibri" w:hAnsi="Times New Roman" w:cs="Times New Roman"/>
          <w:i/>
          <w:iCs/>
          <w:sz w:val="24"/>
          <w:szCs w:val="24"/>
        </w:rPr>
        <w:t>Social research methods</w:t>
      </w:r>
      <w:r w:rsidRPr="00BC5B91">
        <w:rPr>
          <w:rFonts w:ascii="Times New Roman" w:eastAsia="Calibri" w:hAnsi="Times New Roman" w:cs="Times New Roman"/>
          <w:sz w:val="24"/>
          <w:szCs w:val="24"/>
        </w:rPr>
        <w:t xml:space="preserve"> (4th ed.). Oxford University Press.</w:t>
      </w:r>
    </w:p>
    <w:p w14:paraId="4F99BC35"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Cabrera, A. F., &amp; La Nasa, S. M. (2000). Understanding the College-Choice Process. </w:t>
      </w:r>
      <w:r w:rsidRPr="00BC5B91">
        <w:rPr>
          <w:rFonts w:ascii="Times New Roman" w:eastAsia="Calibri" w:hAnsi="Times New Roman" w:cs="Times New Roman"/>
          <w:i/>
          <w:iCs/>
          <w:sz w:val="24"/>
          <w:szCs w:val="24"/>
        </w:rPr>
        <w:t>New Directions for Institutional Research</w:t>
      </w:r>
      <w:r w:rsidRPr="00BC5B91">
        <w:rPr>
          <w:rFonts w:ascii="Times New Roman" w:eastAsia="Calibri" w:hAnsi="Times New Roman" w:cs="Times New Roman"/>
          <w:sz w:val="24"/>
          <w:szCs w:val="24"/>
        </w:rPr>
        <w:t xml:space="preserve">, 2000(107), 5-22. </w:t>
      </w:r>
      <w:hyperlink r:id="rId29" w:tgtFrame="_new" w:history="1">
        <w:r w:rsidRPr="00BC5B91">
          <w:rPr>
            <w:rStyle w:val="Hyperlink"/>
            <w:rFonts w:ascii="Times New Roman" w:eastAsia="Calibri" w:hAnsi="Times New Roman" w:cs="Times New Roman"/>
            <w:sz w:val="24"/>
            <w:szCs w:val="24"/>
          </w:rPr>
          <w:t>https://doi.org/10.1002/ir.10701</w:t>
        </w:r>
      </w:hyperlink>
      <w:r w:rsidRPr="00BC5B91">
        <w:rPr>
          <w:rFonts w:ascii="Times New Roman" w:eastAsia="Calibri" w:hAnsi="Times New Roman" w:cs="Times New Roman"/>
          <w:sz w:val="24"/>
          <w:szCs w:val="24"/>
        </w:rPr>
        <w:t>​</w:t>
      </w:r>
    </w:p>
    <w:p w14:paraId="57D6228E"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Carr-Hill, R. (2013). </w:t>
      </w:r>
      <w:r w:rsidRPr="00BC5B91">
        <w:rPr>
          <w:rFonts w:ascii="Times New Roman" w:eastAsia="Calibri" w:hAnsi="Times New Roman" w:cs="Times New Roman"/>
          <w:i/>
          <w:iCs/>
          <w:sz w:val="24"/>
          <w:szCs w:val="24"/>
        </w:rPr>
        <w:t>Decentralisation, disadvantage and incentives</w:t>
      </w:r>
      <w:r w:rsidRPr="00BC5B91">
        <w:rPr>
          <w:rFonts w:ascii="Times New Roman" w:eastAsia="Calibri" w:hAnsi="Times New Roman" w:cs="Times New Roman"/>
          <w:sz w:val="24"/>
          <w:szCs w:val="24"/>
        </w:rPr>
        <w:t>. RISE Programme. https://riseprogramme.org/sites/default/files/inline-files/Carr_Hill_Decentralisation_Disadvantage_and_Incentives_0.pdf</w:t>
      </w:r>
    </w:p>
    <w:p w14:paraId="4CF8919A"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lastRenderedPageBreak/>
        <w:t xml:space="preserve">CHS Alliance. (2019). </w:t>
      </w:r>
      <w:r w:rsidRPr="00BC5B91">
        <w:rPr>
          <w:rFonts w:ascii="Times New Roman" w:eastAsia="Calibri" w:hAnsi="Times New Roman" w:cs="Times New Roman"/>
          <w:i/>
          <w:iCs/>
          <w:sz w:val="24"/>
          <w:szCs w:val="24"/>
        </w:rPr>
        <w:t>2019 CHS Alliance support to complaints and feedback mechanisms report</w:t>
      </w:r>
      <w:r w:rsidRPr="00BC5B91">
        <w:rPr>
          <w:rFonts w:ascii="Times New Roman" w:eastAsia="Calibri" w:hAnsi="Times New Roman" w:cs="Times New Roman"/>
          <w:sz w:val="24"/>
          <w:szCs w:val="24"/>
        </w:rPr>
        <w:t xml:space="preserve">. </w:t>
      </w:r>
      <w:hyperlink r:id="rId30" w:tgtFrame="_new" w:history="1">
        <w:r w:rsidRPr="00BC5B91">
          <w:rPr>
            <w:rStyle w:val="Hyperlink"/>
            <w:rFonts w:ascii="Times New Roman" w:eastAsia="Calibri" w:hAnsi="Times New Roman" w:cs="Times New Roman"/>
            <w:sz w:val="24"/>
            <w:szCs w:val="24"/>
          </w:rPr>
          <w:t>https://www.chsalliance.org/get-support/resource/chs-alliance-support-to-complaints-and-feedback-mechanisms-report/</w:t>
        </w:r>
      </w:hyperlink>
    </w:p>
    <w:p w14:paraId="76F6AFFC"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u w:val="single"/>
        </w:rPr>
      </w:pPr>
      <w:r w:rsidRPr="00BC5B91">
        <w:rPr>
          <w:rFonts w:ascii="Times New Roman" w:eastAsia="Calibri" w:hAnsi="Times New Roman" w:cs="Times New Roman"/>
          <w:sz w:val="24"/>
          <w:szCs w:val="24"/>
        </w:rPr>
        <w:t xml:space="preserve">Cohen, D. K., &amp; Hill, H. C. (2000). Instructional policy and classroom performance: The mathematics reform in California. </w:t>
      </w:r>
      <w:r w:rsidRPr="00BC5B91">
        <w:rPr>
          <w:rFonts w:ascii="Times New Roman" w:eastAsia="Calibri" w:hAnsi="Times New Roman" w:cs="Times New Roman"/>
          <w:i/>
          <w:iCs/>
          <w:sz w:val="24"/>
          <w:szCs w:val="24"/>
        </w:rPr>
        <w:t>Teachers College Record</w:t>
      </w:r>
      <w:r w:rsidRPr="00BC5B91">
        <w:rPr>
          <w:rFonts w:ascii="Times New Roman" w:eastAsia="Calibri" w:hAnsi="Times New Roman" w:cs="Times New Roman"/>
          <w:sz w:val="24"/>
          <w:szCs w:val="24"/>
        </w:rPr>
        <w:t xml:space="preserve">, 102(2), 294–343. </w:t>
      </w:r>
      <w:hyperlink r:id="rId31" w:history="1">
        <w:r w:rsidRPr="00BC5B91">
          <w:rPr>
            <w:rStyle w:val="Hyperlink"/>
            <w:rFonts w:ascii="Times New Roman" w:eastAsia="Calibri" w:hAnsi="Times New Roman" w:cs="Times New Roman"/>
            <w:sz w:val="24"/>
            <w:szCs w:val="24"/>
          </w:rPr>
          <w:t>https://doi.org/10.1111/0161-4681.00057</w:t>
        </w:r>
      </w:hyperlink>
    </w:p>
    <w:p w14:paraId="70CA5E17"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Daoud, J. I. (2017). Multicollinearity and regression analysis. </w:t>
      </w:r>
      <w:r w:rsidRPr="00BC5B91">
        <w:rPr>
          <w:rFonts w:ascii="Times New Roman" w:eastAsia="Calibri" w:hAnsi="Times New Roman" w:cs="Times New Roman"/>
          <w:i/>
          <w:iCs/>
          <w:sz w:val="24"/>
          <w:szCs w:val="24"/>
        </w:rPr>
        <w:t>Journal of Physics: Conference Series, 949</w:t>
      </w:r>
      <w:r w:rsidRPr="00BC5B91">
        <w:rPr>
          <w:rFonts w:ascii="Times New Roman" w:eastAsia="Calibri" w:hAnsi="Times New Roman" w:cs="Times New Roman"/>
          <w:sz w:val="24"/>
          <w:szCs w:val="24"/>
        </w:rPr>
        <w:t xml:space="preserve">(1), 012009. </w:t>
      </w:r>
      <w:hyperlink r:id="rId32" w:tgtFrame="_blank" w:history="1">
        <w:r w:rsidRPr="00BC5B91">
          <w:rPr>
            <w:rStyle w:val="Hyperlink"/>
            <w:rFonts w:ascii="Times New Roman" w:eastAsia="Calibri" w:hAnsi="Times New Roman" w:cs="Times New Roman"/>
            <w:sz w:val="24"/>
            <w:szCs w:val="24"/>
          </w:rPr>
          <w:t>https://doi.org/10.1088/1742-6596/949/1/012009</w:t>
        </w:r>
      </w:hyperlink>
    </w:p>
    <w:p w14:paraId="1E8888D3"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Department for Education. (2019).</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Review of post-16 qualifications at level 3 and below in England: The current system and the case for change</w:t>
      </w:r>
      <w:r w:rsidRPr="00BC5B91">
        <w:rPr>
          <w:rFonts w:ascii="Times New Roman" w:eastAsia="Calibri" w:hAnsi="Times New Roman" w:cs="Times New Roman"/>
          <w:sz w:val="24"/>
          <w:szCs w:val="24"/>
        </w:rPr>
        <w:t xml:space="preserve">. Department for Education. </w:t>
      </w:r>
      <w:hyperlink r:id="rId33" w:history="1">
        <w:r w:rsidRPr="00BC5B91">
          <w:rPr>
            <w:rStyle w:val="Hyperlink"/>
            <w:rFonts w:ascii="Times New Roman" w:eastAsia="Calibri" w:hAnsi="Times New Roman" w:cs="Times New Roman"/>
            <w:sz w:val="24"/>
            <w:szCs w:val="24"/>
          </w:rPr>
          <w:t>https://consult.education.gov.uk/post-16-qualifications-review-team/post-16-level-3-and-below-qualifications-review/supporting_documents/Post%2016%20level%203%20and%20below%20qualifications%20review%20%20Case%20for%20Change.pdf</w:t>
        </w:r>
      </w:hyperlink>
    </w:p>
    <w:p w14:paraId="76F5D2DA"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Elacqua, G., Munevar, I., Sánchez Torres, F., &amp; Santos, H. (2021). The impact of decentralized decision-making on student outcomes and teacher quality: Evidence from Colombia. </w:t>
      </w:r>
      <w:r w:rsidRPr="00BC5B91">
        <w:rPr>
          <w:rFonts w:ascii="Times New Roman" w:eastAsia="Calibri" w:hAnsi="Times New Roman" w:cs="Times New Roman"/>
          <w:i/>
          <w:iCs/>
          <w:sz w:val="24"/>
          <w:szCs w:val="24"/>
        </w:rPr>
        <w:t>World Development, 141</w:t>
      </w:r>
      <w:r w:rsidRPr="00BC5B91">
        <w:rPr>
          <w:rFonts w:ascii="Times New Roman" w:eastAsia="Calibri" w:hAnsi="Times New Roman" w:cs="Times New Roman"/>
          <w:sz w:val="24"/>
          <w:szCs w:val="24"/>
        </w:rPr>
        <w:t>, 105378. https://doi.org/10.1016/j.worlddev.2020.105378</w:t>
      </w:r>
    </w:p>
    <w:p w14:paraId="4FA6EAFB"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Euler, D. (2013). </w:t>
      </w:r>
      <w:r w:rsidRPr="00BC5B91">
        <w:rPr>
          <w:rFonts w:ascii="Times New Roman" w:eastAsia="Calibri" w:hAnsi="Times New Roman" w:cs="Times New Roman"/>
          <w:i/>
          <w:iCs/>
          <w:sz w:val="24"/>
          <w:szCs w:val="24"/>
        </w:rPr>
        <w:t>Germany's dual vocational training system: A model for other countries?</w:t>
      </w:r>
      <w:r w:rsidRPr="00BC5B91">
        <w:rPr>
          <w:rFonts w:ascii="Times New Roman" w:eastAsia="Calibri" w:hAnsi="Times New Roman" w:cs="Times New Roman"/>
          <w:sz w:val="24"/>
          <w:szCs w:val="24"/>
        </w:rPr>
        <w:t xml:space="preserve"> Bertelsmann Stiftung. </w:t>
      </w:r>
      <w:hyperlink r:id="rId34" w:tgtFrame="_new" w:history="1">
        <w:r w:rsidRPr="00BC5B91">
          <w:rPr>
            <w:rStyle w:val="Hyperlink"/>
            <w:rFonts w:ascii="Times New Roman" w:eastAsia="Calibri" w:hAnsi="Times New Roman" w:cs="Times New Roman"/>
            <w:sz w:val="24"/>
            <w:szCs w:val="24"/>
          </w:rPr>
          <w:t>https://www.bertelsmann-stiftung.de/fileadmin/files/BSt/Publikationen/GrauePublikationen/GP_Germanys_dual_vocational_training_system.pdf</w:t>
        </w:r>
      </w:hyperlink>
    </w:p>
    <w:p w14:paraId="51918DB4"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Faguet, J.-P., &amp; Sánchez, F. (2008). Decentralization's effects on educational outcomes in Bolivia and Colombia. </w:t>
      </w:r>
      <w:r w:rsidRPr="00BC5B91">
        <w:rPr>
          <w:rFonts w:ascii="Times New Roman" w:eastAsia="Calibri" w:hAnsi="Times New Roman" w:cs="Times New Roman"/>
          <w:i/>
          <w:iCs/>
          <w:sz w:val="24"/>
          <w:szCs w:val="24"/>
        </w:rPr>
        <w:t>World Development, 36</w:t>
      </w:r>
      <w:r w:rsidRPr="00BC5B91">
        <w:rPr>
          <w:rFonts w:ascii="Times New Roman" w:eastAsia="Calibri" w:hAnsi="Times New Roman" w:cs="Times New Roman"/>
          <w:sz w:val="24"/>
          <w:szCs w:val="24"/>
        </w:rPr>
        <w:t xml:space="preserve">(7), 1294–1316. </w:t>
      </w:r>
      <w:hyperlink r:id="rId35" w:history="1">
        <w:r w:rsidRPr="00BC5B91">
          <w:rPr>
            <w:rStyle w:val="Hyperlink"/>
            <w:rFonts w:ascii="Times New Roman" w:eastAsia="Calibri" w:hAnsi="Times New Roman" w:cs="Times New Roman"/>
            <w:sz w:val="24"/>
            <w:szCs w:val="24"/>
          </w:rPr>
          <w:t>https://eprints.lse.ac.uk/27159/1/Decentralizations_effects_education_world_dev_%28LSERO%29.pdf</w:t>
        </w:r>
      </w:hyperlink>
    </w:p>
    <w:p w14:paraId="57F60928"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p>
    <w:p w14:paraId="14CA2A6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Field, A. (2018). </w:t>
      </w:r>
      <w:r w:rsidRPr="00BC5B91">
        <w:rPr>
          <w:rFonts w:ascii="Times New Roman" w:eastAsia="Calibri" w:hAnsi="Times New Roman" w:cs="Times New Roman"/>
          <w:i/>
          <w:iCs/>
          <w:sz w:val="24"/>
          <w:szCs w:val="24"/>
        </w:rPr>
        <w:t>Discovering statistics using IBM SPSS statistics</w:t>
      </w:r>
      <w:r w:rsidRPr="00BC5B91">
        <w:rPr>
          <w:rFonts w:ascii="Times New Roman" w:eastAsia="Calibri" w:hAnsi="Times New Roman" w:cs="Times New Roman"/>
          <w:sz w:val="24"/>
          <w:szCs w:val="24"/>
        </w:rPr>
        <w:t xml:space="preserve"> (5th ed.). Sage Publications.</w:t>
      </w:r>
    </w:p>
    <w:p w14:paraId="2AC9C0AF" w14:textId="77777777" w:rsidR="00065282"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Fraser, N. (1997). </w:t>
      </w:r>
      <w:r w:rsidRPr="00BC5B91">
        <w:rPr>
          <w:rFonts w:ascii="Times New Roman" w:eastAsia="Calibri" w:hAnsi="Times New Roman" w:cs="Times New Roman"/>
          <w:i/>
          <w:iCs/>
          <w:sz w:val="24"/>
          <w:szCs w:val="24"/>
        </w:rPr>
        <w:t>Justice interruptus: Critical reflections on the "postsocialist" condition</w:t>
      </w:r>
      <w:r w:rsidRPr="00BC5B91">
        <w:rPr>
          <w:rFonts w:ascii="Times New Roman" w:eastAsia="Calibri" w:hAnsi="Times New Roman" w:cs="Times New Roman"/>
          <w:sz w:val="24"/>
          <w:szCs w:val="24"/>
        </w:rPr>
        <w:t>. Routledge.</w:t>
      </w:r>
    </w:p>
    <w:p w14:paraId="18F1B871" w14:textId="77777777" w:rsidR="00065282"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F43BEE">
        <w:rPr>
          <w:rFonts w:ascii="Times New Roman" w:eastAsia="Calibri" w:hAnsi="Times New Roman" w:cs="Times New Roman"/>
          <w:sz w:val="24"/>
          <w:szCs w:val="24"/>
        </w:rPr>
        <w:t xml:space="preserve">Ghanamma. (2024, April 9). </w:t>
      </w:r>
      <w:r w:rsidRPr="00F43BEE">
        <w:rPr>
          <w:rFonts w:ascii="Times New Roman" w:eastAsia="Calibri" w:hAnsi="Times New Roman" w:cs="Times New Roman"/>
          <w:i/>
          <w:iCs/>
          <w:sz w:val="24"/>
          <w:szCs w:val="24"/>
        </w:rPr>
        <w:t>SHS enrolment goes high</w:t>
      </w:r>
      <w:r w:rsidRPr="00F43BEE">
        <w:rPr>
          <w:rFonts w:ascii="Times New Roman" w:eastAsia="Calibri" w:hAnsi="Times New Roman" w:cs="Times New Roman"/>
          <w:sz w:val="24"/>
          <w:szCs w:val="24"/>
        </w:rPr>
        <w:t xml:space="preserve">. </w:t>
      </w:r>
      <w:hyperlink r:id="rId36" w:history="1">
        <w:r w:rsidRPr="002A21E6">
          <w:rPr>
            <w:rStyle w:val="Hyperlink"/>
            <w:rFonts w:ascii="Times New Roman" w:eastAsia="Calibri" w:hAnsi="Times New Roman" w:cs="Times New Roman"/>
            <w:sz w:val="24"/>
            <w:szCs w:val="24"/>
          </w:rPr>
          <w:t>https://www.ghanamma.com/2024/04/09/shs-enrolment-goes-high/</w:t>
        </w:r>
      </w:hyperlink>
    </w:p>
    <w:p w14:paraId="0C3D89BE" w14:textId="77777777" w:rsidR="00065282" w:rsidRPr="00F43BEE"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p>
    <w:p w14:paraId="2FD9E477" w14:textId="77777777" w:rsidR="00065282"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F43BEE">
        <w:rPr>
          <w:rFonts w:ascii="Times New Roman" w:eastAsia="Calibri" w:hAnsi="Times New Roman" w:cs="Times New Roman"/>
          <w:sz w:val="24"/>
          <w:szCs w:val="24"/>
        </w:rPr>
        <w:t xml:space="preserve">Yen. (2024, February 28). </w:t>
      </w:r>
      <w:r w:rsidRPr="00F43BEE">
        <w:rPr>
          <w:rFonts w:ascii="Times New Roman" w:eastAsia="Calibri" w:hAnsi="Times New Roman" w:cs="Times New Roman"/>
          <w:i/>
          <w:iCs/>
          <w:sz w:val="24"/>
          <w:szCs w:val="24"/>
        </w:rPr>
        <w:t>Ministry of Education releases 2024 school placement: 447,698 students gain automatic SHS admission</w:t>
      </w:r>
      <w:r w:rsidRPr="00F43BEE">
        <w:rPr>
          <w:rFonts w:ascii="Times New Roman" w:eastAsia="Calibri" w:hAnsi="Times New Roman" w:cs="Times New Roman"/>
          <w:sz w:val="24"/>
          <w:szCs w:val="24"/>
        </w:rPr>
        <w:t xml:space="preserve">. </w:t>
      </w:r>
      <w:hyperlink r:id="rId37" w:history="1">
        <w:r w:rsidRPr="002A21E6">
          <w:rPr>
            <w:rStyle w:val="Hyperlink"/>
            <w:rFonts w:ascii="Times New Roman" w:eastAsia="Calibri" w:hAnsi="Times New Roman" w:cs="Times New Roman"/>
            <w:sz w:val="24"/>
            <w:szCs w:val="24"/>
          </w:rPr>
          <w:t>https://yen.com.gh/ghana/269989-ministry-education-releases-2024-school-placement-447698-students-gain-automatic-shs-admission/</w:t>
        </w:r>
      </w:hyperlink>
    </w:p>
    <w:p w14:paraId="551E63AC" w14:textId="77777777" w:rsidR="00065282" w:rsidRPr="00F43BEE"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p>
    <w:p w14:paraId="09E2B167"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p>
    <w:p w14:paraId="58BC6FD1"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Gale, D., &amp; Shapley, L. S. (1962). College admissions and the stability of marriage. </w:t>
      </w:r>
      <w:r w:rsidRPr="00BC5B91">
        <w:rPr>
          <w:rFonts w:ascii="Times New Roman" w:eastAsia="Calibri" w:hAnsi="Times New Roman" w:cs="Times New Roman"/>
          <w:i/>
          <w:iCs/>
          <w:sz w:val="24"/>
          <w:szCs w:val="24"/>
        </w:rPr>
        <w:t>The American Mathematical Monthly</w:t>
      </w:r>
      <w:r w:rsidRPr="00BC5B91">
        <w:rPr>
          <w:rFonts w:ascii="Times New Roman" w:eastAsia="Calibri" w:hAnsi="Times New Roman" w:cs="Times New Roman"/>
          <w:sz w:val="24"/>
          <w:szCs w:val="24"/>
        </w:rPr>
        <w:t xml:space="preserve">, 69(1), 9–15. </w:t>
      </w:r>
      <w:hyperlink r:id="rId38" w:history="1">
        <w:r w:rsidRPr="00BC5B91">
          <w:rPr>
            <w:rStyle w:val="Hyperlink"/>
            <w:rFonts w:ascii="Times New Roman" w:eastAsia="Calibri" w:hAnsi="Times New Roman" w:cs="Times New Roman"/>
            <w:sz w:val="24"/>
            <w:szCs w:val="24"/>
          </w:rPr>
          <w:t>https://doi.org/10.2307/2312726</w:t>
        </w:r>
      </w:hyperlink>
    </w:p>
    <w:p w14:paraId="501A95FE"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Gale, D., &amp; Shapley, L. S. (1962). </w:t>
      </w:r>
      <w:r w:rsidRPr="00BC5B91">
        <w:rPr>
          <w:rFonts w:ascii="Times New Roman" w:eastAsia="Calibri" w:hAnsi="Times New Roman" w:cs="Times New Roman"/>
          <w:i/>
          <w:iCs/>
          <w:sz w:val="24"/>
          <w:szCs w:val="24"/>
        </w:rPr>
        <w:t>College admissions and the stability of marriage</w:t>
      </w:r>
      <w:r w:rsidRPr="00BC5B91">
        <w:rPr>
          <w:rFonts w:ascii="Times New Roman" w:eastAsia="Calibri" w:hAnsi="Times New Roman" w:cs="Times New Roman"/>
          <w:sz w:val="24"/>
          <w:szCs w:val="24"/>
        </w:rPr>
        <w:t>. The American Mathematical Monthly, 69(1), 9–15. https://doi.org/10.2307/2312726</w:t>
      </w:r>
    </w:p>
    <w:p w14:paraId="26F90EC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Garson, G. D. (2012). </w:t>
      </w:r>
      <w:r w:rsidRPr="00BC5B91">
        <w:rPr>
          <w:rFonts w:ascii="Times New Roman" w:eastAsia="Calibri" w:hAnsi="Times New Roman" w:cs="Times New Roman"/>
          <w:i/>
          <w:iCs/>
          <w:sz w:val="24"/>
          <w:szCs w:val="24"/>
        </w:rPr>
        <w:t>Multiple regression</w:t>
      </w:r>
      <w:r w:rsidRPr="00BC5B91">
        <w:rPr>
          <w:rFonts w:ascii="Times New Roman" w:eastAsia="Calibri" w:hAnsi="Times New Roman" w:cs="Times New Roman"/>
          <w:sz w:val="24"/>
          <w:szCs w:val="24"/>
        </w:rPr>
        <w:t>. Statistical Associates Blue Book Series.</w:t>
      </w:r>
    </w:p>
    <w:p w14:paraId="3BB902DF"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Ghana Education Service. (2023</w:t>
      </w:r>
      <w:r w:rsidRPr="00BC5B91">
        <w:rPr>
          <w:rFonts w:ascii="Times New Roman" w:eastAsia="Calibri" w:hAnsi="Times New Roman" w:cs="Times New Roman"/>
          <w:b/>
          <w:bCs/>
          <w:sz w:val="24"/>
          <w:szCs w:val="24"/>
        </w:rPr>
        <w:t>).</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Computerised Schools Selection and Placement System (CSSPS) 2023 text for confirmation of student’s school choices</w:t>
      </w:r>
      <w:r w:rsidRPr="00BC5B91">
        <w:rPr>
          <w:rFonts w:ascii="Times New Roman" w:eastAsia="Calibri" w:hAnsi="Times New Roman" w:cs="Times New Roman"/>
          <w:sz w:val="24"/>
          <w:szCs w:val="24"/>
        </w:rPr>
        <w:t xml:space="preserve">. Retrieved from </w:t>
      </w:r>
      <w:hyperlink r:id="rId39" w:tgtFrame="_new" w:history="1">
        <w:r w:rsidRPr="00BC5B91">
          <w:rPr>
            <w:rStyle w:val="Hyperlink"/>
            <w:rFonts w:ascii="Times New Roman" w:eastAsia="Calibri" w:hAnsi="Times New Roman" w:cs="Times New Roman"/>
            <w:sz w:val="24"/>
            <w:szCs w:val="24"/>
          </w:rPr>
          <w:t>https://ges.gov.gh/2023/02/04/computerised-schools-selection-and-placement-systemcssps-2023-text-for-confirmation-of-students-school-choices/</w:t>
        </w:r>
      </w:hyperlink>
      <w:r w:rsidRPr="00BC5B91">
        <w:rPr>
          <w:rFonts w:ascii="Times New Roman" w:eastAsia="Calibri" w:hAnsi="Times New Roman" w:cs="Times New Roman"/>
          <w:sz w:val="24"/>
          <w:szCs w:val="24"/>
        </w:rPr>
        <w:t>​</w:t>
      </w:r>
      <w:hyperlink r:id="rId40" w:tgtFrame="_blank" w:history="1">
        <w:r w:rsidRPr="00BC5B91">
          <w:rPr>
            <w:rStyle w:val="Hyperlink"/>
            <w:rFonts w:ascii="Times New Roman" w:eastAsia="Calibri" w:hAnsi="Times New Roman" w:cs="Times New Roman"/>
            <w:sz w:val="24"/>
            <w:szCs w:val="24"/>
          </w:rPr>
          <w:t>ges.gov.gh+1ges.gov.gh+1</w:t>
        </w:r>
      </w:hyperlink>
    </w:p>
    <w:p w14:paraId="43AFF44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Ghana Education Service. (2023, January 19). CSSPS: Successes, challenges and the way forward. MyJoyOnline. </w:t>
      </w:r>
      <w:hyperlink r:id="rId41" w:tgtFrame="_blank" w:history="1">
        <w:r w:rsidRPr="00BC5B91">
          <w:rPr>
            <w:rStyle w:val="Hyperlink"/>
            <w:rFonts w:ascii="Times New Roman" w:eastAsia="Calibri" w:hAnsi="Times New Roman" w:cs="Times New Roman"/>
            <w:sz w:val="24"/>
            <w:szCs w:val="24"/>
          </w:rPr>
          <w:t>https://www.myjoyonline.com/cssps-successes-challenges-and-the-way-forward/</w:t>
        </w:r>
      </w:hyperlink>
      <w:r w:rsidRPr="00BC5B91">
        <w:rPr>
          <w:rFonts w:ascii="Times New Roman" w:eastAsia="Calibri" w:hAnsi="Times New Roman" w:cs="Times New Roman"/>
          <w:sz w:val="24"/>
          <w:szCs w:val="24"/>
        </w:rPr>
        <w:t xml:space="preserve"> </w:t>
      </w:r>
    </w:p>
    <w:p w14:paraId="503B751A"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Ghana Ministry of Education. (2019).</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Education sector performance report</w:t>
      </w:r>
      <w:r w:rsidRPr="00BC5B91">
        <w:rPr>
          <w:rFonts w:ascii="Times New Roman" w:eastAsia="Calibri" w:hAnsi="Times New Roman" w:cs="Times New Roman"/>
          <w:sz w:val="24"/>
          <w:szCs w:val="24"/>
        </w:rPr>
        <w:t xml:space="preserve">. Retrieved from </w:t>
      </w:r>
      <w:hyperlink r:id="rId42" w:tgtFrame="_new" w:history="1">
        <w:r w:rsidRPr="00BC5B91">
          <w:rPr>
            <w:rStyle w:val="Hyperlink"/>
            <w:rFonts w:ascii="Times New Roman" w:eastAsia="Calibri" w:hAnsi="Times New Roman" w:cs="Times New Roman"/>
            <w:sz w:val="24"/>
            <w:szCs w:val="24"/>
          </w:rPr>
          <w:t>https://ndpc.gov.gh/media/Ministry_of_Education_APR_2019.pdf</w:t>
        </w:r>
      </w:hyperlink>
      <w:r w:rsidRPr="00BC5B91">
        <w:rPr>
          <w:rFonts w:ascii="Times New Roman" w:eastAsia="Calibri" w:hAnsi="Times New Roman" w:cs="Times New Roman"/>
          <w:sz w:val="24"/>
          <w:szCs w:val="24"/>
        </w:rPr>
        <w:t>​</w:t>
      </w:r>
      <w:hyperlink r:id="rId43" w:tgtFrame="_blank" w:history="1">
        <w:r w:rsidRPr="00BC5B91">
          <w:rPr>
            <w:rStyle w:val="Hyperlink"/>
            <w:rFonts w:ascii="Times New Roman" w:eastAsia="Calibri" w:hAnsi="Times New Roman" w:cs="Times New Roman"/>
            <w:sz w:val="24"/>
            <w:szCs w:val="24"/>
          </w:rPr>
          <w:t>NDPC</w:t>
        </w:r>
      </w:hyperlink>
    </w:p>
    <w:p w14:paraId="14084575" w14:textId="77777777" w:rsidR="00065282" w:rsidRDefault="00065282" w:rsidP="00AD148D">
      <w:pPr>
        <w:spacing w:before="120" w:after="0" w:line="360" w:lineRule="auto"/>
        <w:ind w:left="720" w:hanging="720"/>
        <w:contextualSpacing/>
        <w:jc w:val="both"/>
        <w:rPr>
          <w:rStyle w:val="Hyperlink"/>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Ghana National Association of Private Schools (GNAPS). (2024a). </w:t>
      </w:r>
      <w:r w:rsidRPr="00BC5B91">
        <w:rPr>
          <w:rFonts w:ascii="Times New Roman" w:eastAsia="Calibri" w:hAnsi="Times New Roman" w:cs="Times New Roman"/>
          <w:i/>
          <w:iCs/>
          <w:sz w:val="24"/>
          <w:szCs w:val="24"/>
        </w:rPr>
        <w:t>Unfair and unconstitutional: GNAPS challenges 30% placement policy that favors public schools.</w:t>
      </w:r>
      <w:r w:rsidRPr="00BC5B91">
        <w:rPr>
          <w:rFonts w:ascii="Times New Roman" w:eastAsia="Calibri" w:hAnsi="Times New Roman" w:cs="Times New Roman"/>
          <w:sz w:val="24"/>
          <w:szCs w:val="24"/>
        </w:rPr>
        <w:t xml:space="preserve"> </w:t>
      </w:r>
      <w:hyperlink r:id="rId44" w:history="1">
        <w:r w:rsidRPr="00BC5B91">
          <w:rPr>
            <w:rStyle w:val="Hyperlink"/>
            <w:rFonts w:ascii="Times New Roman" w:eastAsia="Calibri" w:hAnsi="Times New Roman" w:cs="Times New Roman"/>
            <w:sz w:val="24"/>
            <w:szCs w:val="24"/>
          </w:rPr>
          <w:t>https://gnaps.org/unfair-and-unconstitutional-gnaps-challenges-30-placement-policy-that-favors-public-schools</w:t>
        </w:r>
      </w:hyperlink>
    </w:p>
    <w:p w14:paraId="1C5D5945"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E82864">
        <w:rPr>
          <w:rFonts w:ascii="Times New Roman" w:eastAsia="Calibri" w:hAnsi="Times New Roman" w:cs="Times New Roman"/>
          <w:sz w:val="24"/>
          <w:szCs w:val="24"/>
        </w:rPr>
        <w:t xml:space="preserve">DailyGuide Network. (2024, April 9). </w:t>
      </w:r>
      <w:r w:rsidRPr="00E82864">
        <w:rPr>
          <w:rFonts w:ascii="Times New Roman" w:eastAsia="Calibri" w:hAnsi="Times New Roman" w:cs="Times New Roman"/>
          <w:i/>
          <w:iCs/>
          <w:sz w:val="24"/>
          <w:szCs w:val="24"/>
        </w:rPr>
        <w:t>SHS enrolment goes high</w:t>
      </w:r>
      <w:r w:rsidRPr="00E82864">
        <w:rPr>
          <w:rFonts w:ascii="Times New Roman" w:eastAsia="Calibri" w:hAnsi="Times New Roman" w:cs="Times New Roman"/>
          <w:sz w:val="24"/>
          <w:szCs w:val="24"/>
        </w:rPr>
        <w:t xml:space="preserve">. </w:t>
      </w:r>
      <w:hyperlink r:id="rId45" w:tgtFrame="_new" w:history="1">
        <w:r w:rsidRPr="00E82864">
          <w:rPr>
            <w:rStyle w:val="Hyperlink"/>
            <w:rFonts w:ascii="Times New Roman" w:eastAsia="Calibri" w:hAnsi="Times New Roman" w:cs="Times New Roman"/>
            <w:sz w:val="24"/>
            <w:szCs w:val="24"/>
          </w:rPr>
          <w:t>https://dailyguidenetwork.com/shs-enrolment-goes-high/</w:t>
        </w:r>
      </w:hyperlink>
    </w:p>
    <w:p w14:paraId="443675A5"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Ghana National Association of Private Schools (GNAPS). (2024b). </w:t>
      </w:r>
      <w:r w:rsidRPr="00BC5B91">
        <w:rPr>
          <w:rFonts w:ascii="Times New Roman" w:eastAsia="Calibri" w:hAnsi="Times New Roman" w:cs="Times New Roman"/>
          <w:i/>
          <w:iCs/>
          <w:sz w:val="24"/>
          <w:szCs w:val="24"/>
        </w:rPr>
        <w:t>Private education stakeholders petition CHRAJ over 30% priority placement policy.</w:t>
      </w:r>
      <w:r w:rsidRPr="00BC5B91">
        <w:rPr>
          <w:rFonts w:ascii="Times New Roman" w:eastAsia="Calibri" w:hAnsi="Times New Roman" w:cs="Times New Roman"/>
          <w:sz w:val="24"/>
          <w:szCs w:val="24"/>
        </w:rPr>
        <w:t xml:space="preserve"> </w:t>
      </w:r>
      <w:hyperlink r:id="rId46" w:history="1">
        <w:r w:rsidRPr="00BC5B91">
          <w:rPr>
            <w:rStyle w:val="Hyperlink"/>
            <w:rFonts w:ascii="Times New Roman" w:eastAsia="Calibri" w:hAnsi="Times New Roman" w:cs="Times New Roman"/>
            <w:sz w:val="24"/>
            <w:szCs w:val="24"/>
          </w:rPr>
          <w:t>https://gnaps.org/private-education-stakeholders-petition-chraj-over-30-prioity-placement-policy-2</w:t>
        </w:r>
      </w:hyperlink>
    </w:p>
    <w:p w14:paraId="784C2304"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Ghana National Association of Private Schools (GNAPS). (2024c). </w:t>
      </w:r>
      <w:r w:rsidRPr="00BC5B91">
        <w:rPr>
          <w:rFonts w:ascii="Times New Roman" w:eastAsia="Calibri" w:hAnsi="Times New Roman" w:cs="Times New Roman"/>
          <w:i/>
          <w:iCs/>
          <w:sz w:val="24"/>
          <w:szCs w:val="24"/>
        </w:rPr>
        <w:t>Speech on 30% priority placement policy.</w:t>
      </w:r>
      <w:r w:rsidRPr="00BC5B91">
        <w:rPr>
          <w:rFonts w:ascii="Times New Roman" w:eastAsia="Calibri" w:hAnsi="Times New Roman" w:cs="Times New Roman"/>
          <w:sz w:val="24"/>
          <w:szCs w:val="24"/>
        </w:rPr>
        <w:t xml:space="preserve"> https://gnaps.org/speech-on-30-priority-placement-policy</w:t>
      </w:r>
    </w:p>
    <w:p w14:paraId="1BE835C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Ghana National Association of Private Schools. (2022). Unfair and Unconstitutional! GNAPS Challenges 30% Placement Policy That Favors Public Schools. Retrieved from </w:t>
      </w:r>
      <w:hyperlink r:id="rId47" w:tgtFrame="_new" w:history="1">
        <w:r w:rsidRPr="00BC5B91">
          <w:rPr>
            <w:rStyle w:val="Hyperlink"/>
            <w:rFonts w:ascii="Times New Roman" w:eastAsia="Calibri" w:hAnsi="Times New Roman" w:cs="Times New Roman"/>
            <w:sz w:val="24"/>
            <w:szCs w:val="24"/>
          </w:rPr>
          <w:t>https://gnaps.org/unfair-and-unconstitutional-gnaps-challenges-30-placement-policy-that-favors-public-schools/</w:t>
        </w:r>
      </w:hyperlink>
      <w:r w:rsidRPr="00BC5B91">
        <w:rPr>
          <w:rFonts w:ascii="Times New Roman" w:eastAsia="Calibri" w:hAnsi="Times New Roman" w:cs="Times New Roman"/>
          <w:sz w:val="24"/>
          <w:szCs w:val="24"/>
        </w:rPr>
        <w:t>​</w:t>
      </w:r>
      <w:hyperlink r:id="rId48" w:tgtFrame="_blank" w:history="1">
        <w:r w:rsidRPr="00BC5B91">
          <w:rPr>
            <w:rStyle w:val="Hyperlink"/>
            <w:rFonts w:ascii="Times New Roman" w:eastAsia="Calibri" w:hAnsi="Times New Roman" w:cs="Times New Roman"/>
            <w:sz w:val="24"/>
            <w:szCs w:val="24"/>
          </w:rPr>
          <w:t>MyJoyOnline+2gnaps.org+2MyJoyOnline+2</w:t>
        </w:r>
      </w:hyperlink>
    </w:p>
    <w:p w14:paraId="36631D2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Ghana News Agency. (2024). </w:t>
      </w:r>
      <w:r w:rsidRPr="00BC5B91">
        <w:rPr>
          <w:rFonts w:ascii="Times New Roman" w:eastAsia="Calibri" w:hAnsi="Times New Roman" w:cs="Times New Roman"/>
          <w:i/>
          <w:iCs/>
          <w:sz w:val="24"/>
          <w:szCs w:val="24"/>
        </w:rPr>
        <w:t>Free SHS increases enrolment from 800,000 to 1.6 million – Prez Akufo-Addo.</w:t>
      </w:r>
      <w:r w:rsidRPr="00BC5B91">
        <w:rPr>
          <w:rFonts w:ascii="Times New Roman" w:eastAsia="Calibri" w:hAnsi="Times New Roman" w:cs="Times New Roman"/>
          <w:sz w:val="24"/>
          <w:szCs w:val="24"/>
        </w:rPr>
        <w:t xml:space="preserve"> </w:t>
      </w:r>
      <w:hyperlink r:id="rId49" w:history="1">
        <w:r w:rsidRPr="00BC5B91">
          <w:rPr>
            <w:rStyle w:val="Hyperlink"/>
            <w:rFonts w:ascii="Times New Roman" w:eastAsia="Calibri" w:hAnsi="Times New Roman" w:cs="Times New Roman"/>
            <w:sz w:val="24"/>
            <w:szCs w:val="24"/>
          </w:rPr>
          <w:t>https://gna.org.gh/2024/10/free-shs-increases-enrolment-from-800000-to-1-6million-prez-akufo-addo</w:t>
        </w:r>
      </w:hyperlink>
    </w:p>
    <w:p w14:paraId="13616A0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Grubb, W. N. (2009). </w:t>
      </w:r>
      <w:r w:rsidRPr="00BC5B91">
        <w:rPr>
          <w:rFonts w:ascii="Times New Roman" w:eastAsia="Calibri" w:hAnsi="Times New Roman" w:cs="Times New Roman"/>
          <w:i/>
          <w:iCs/>
          <w:sz w:val="24"/>
          <w:szCs w:val="24"/>
        </w:rPr>
        <w:t>The money myth: School resources, outcomes, and equity</w:t>
      </w:r>
      <w:r w:rsidRPr="00BC5B91">
        <w:rPr>
          <w:rFonts w:ascii="Times New Roman" w:eastAsia="Calibri" w:hAnsi="Times New Roman" w:cs="Times New Roman"/>
          <w:sz w:val="24"/>
          <w:szCs w:val="24"/>
        </w:rPr>
        <w:t>. Russell Sage Foundation.</w:t>
      </w:r>
    </w:p>
    <w:p w14:paraId="1B2D9617"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Gyaase, P. O., &amp; Gyamfi, S. A. (2012).</w:t>
      </w:r>
      <w:r w:rsidRPr="00BC5B91">
        <w:rPr>
          <w:rFonts w:ascii="Times New Roman" w:eastAsia="Calibri" w:hAnsi="Times New Roman" w:cs="Times New Roman"/>
          <w:sz w:val="24"/>
          <w:szCs w:val="24"/>
        </w:rPr>
        <w:t xml:space="preserve"> Transparency, equity and accessibility to secondary education in Ghana through e-governance: Stakeholder perspectives of the Computerised School Selection and Placement System (CSSPS) in Ghana. </w:t>
      </w:r>
      <w:r w:rsidRPr="00BC5B91">
        <w:rPr>
          <w:rFonts w:ascii="Times New Roman" w:eastAsia="Calibri" w:hAnsi="Times New Roman" w:cs="Times New Roman"/>
          <w:i/>
          <w:iCs/>
          <w:sz w:val="24"/>
          <w:szCs w:val="24"/>
        </w:rPr>
        <w:t>International Journal of Basic Education</w:t>
      </w:r>
      <w:r w:rsidRPr="00BC5B91">
        <w:rPr>
          <w:rFonts w:ascii="Times New Roman" w:eastAsia="Calibri" w:hAnsi="Times New Roman" w:cs="Times New Roman"/>
          <w:sz w:val="24"/>
          <w:szCs w:val="24"/>
        </w:rPr>
        <w:t>, 2(2), 1-13.​</w:t>
      </w:r>
      <w:hyperlink r:id="rId50" w:tgtFrame="_blank" w:history="1">
        <w:r w:rsidRPr="00BC5B91">
          <w:rPr>
            <w:rStyle w:val="Hyperlink"/>
            <w:rFonts w:ascii="Times New Roman" w:eastAsia="Calibri" w:hAnsi="Times New Roman" w:cs="Times New Roman"/>
            <w:sz w:val="24"/>
            <w:szCs w:val="24"/>
          </w:rPr>
          <w:t>ACM Digital Library+2Academia+2ResearchGate+2</w:t>
        </w:r>
      </w:hyperlink>
    </w:p>
    <w:p w14:paraId="3EE3BA63"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Gyamfi, S. A. (2023).</w:t>
      </w:r>
      <w:r w:rsidRPr="00BC5B91">
        <w:rPr>
          <w:rFonts w:ascii="Times New Roman" w:eastAsia="Calibri" w:hAnsi="Times New Roman" w:cs="Times New Roman"/>
          <w:sz w:val="24"/>
          <w:szCs w:val="24"/>
        </w:rPr>
        <w:t xml:space="preserve"> Evaluation of Computerized School Selection and Placement System in Ghana Using Fit and Viability Theory. </w:t>
      </w:r>
      <w:r w:rsidRPr="00BC5B91">
        <w:rPr>
          <w:rFonts w:ascii="Times New Roman" w:eastAsia="Calibri" w:hAnsi="Times New Roman" w:cs="Times New Roman"/>
          <w:i/>
          <w:iCs/>
          <w:sz w:val="24"/>
          <w:szCs w:val="24"/>
        </w:rPr>
        <w:t>International Journal of Educational Management</w:t>
      </w:r>
      <w:r w:rsidRPr="00BC5B91">
        <w:rPr>
          <w:rFonts w:ascii="Times New Roman" w:eastAsia="Calibri" w:hAnsi="Times New Roman" w:cs="Times New Roman"/>
          <w:sz w:val="24"/>
          <w:szCs w:val="24"/>
        </w:rPr>
        <w:t xml:space="preserve">, 37(3), 512-528. </w:t>
      </w:r>
      <w:hyperlink r:id="rId51" w:tgtFrame="_new" w:history="1">
        <w:r w:rsidRPr="00BC5B91">
          <w:rPr>
            <w:rStyle w:val="Hyperlink"/>
            <w:rFonts w:ascii="Times New Roman" w:eastAsia="Calibri" w:hAnsi="Times New Roman" w:cs="Times New Roman"/>
            <w:sz w:val="24"/>
            <w:szCs w:val="24"/>
          </w:rPr>
          <w:t>https://doi.org/10.1108/IJEM-08-2022-0321</w:t>
        </w:r>
      </w:hyperlink>
      <w:r w:rsidRPr="00BC5B91">
        <w:rPr>
          <w:rFonts w:ascii="Times New Roman" w:eastAsia="Calibri" w:hAnsi="Times New Roman" w:cs="Times New Roman"/>
          <w:sz w:val="24"/>
          <w:szCs w:val="24"/>
        </w:rPr>
        <w:t>​</w:t>
      </w:r>
      <w:hyperlink r:id="rId52" w:tgtFrame="_blank" w:history="1">
        <w:r w:rsidRPr="00BC5B91">
          <w:rPr>
            <w:rStyle w:val="Hyperlink"/>
            <w:rFonts w:ascii="Times New Roman" w:eastAsia="Calibri" w:hAnsi="Times New Roman" w:cs="Times New Roman"/>
            <w:sz w:val="24"/>
            <w:szCs w:val="24"/>
          </w:rPr>
          <w:t>ResearchGate</w:t>
        </w:r>
      </w:hyperlink>
    </w:p>
    <w:p w14:paraId="41722D20"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Hattie, J., &amp; Timperley, H. (2007). The power of feedback. </w:t>
      </w:r>
      <w:r w:rsidRPr="00BC5B91">
        <w:rPr>
          <w:rFonts w:ascii="Times New Roman" w:eastAsia="Calibri" w:hAnsi="Times New Roman" w:cs="Times New Roman"/>
          <w:i/>
          <w:iCs/>
          <w:sz w:val="24"/>
          <w:szCs w:val="24"/>
        </w:rPr>
        <w:t>Review of Educational Research</w:t>
      </w:r>
      <w:r w:rsidRPr="00BC5B91">
        <w:rPr>
          <w:rFonts w:ascii="Times New Roman" w:eastAsia="Calibri" w:hAnsi="Times New Roman" w:cs="Times New Roman"/>
          <w:sz w:val="24"/>
          <w:szCs w:val="24"/>
        </w:rPr>
        <w:t xml:space="preserve">, 77(1), 81–112. </w:t>
      </w:r>
      <w:hyperlink r:id="rId53" w:history="1">
        <w:r w:rsidRPr="00BC5B91">
          <w:rPr>
            <w:rStyle w:val="Hyperlink"/>
            <w:rFonts w:ascii="Times New Roman" w:eastAsia="Calibri" w:hAnsi="Times New Roman" w:cs="Times New Roman"/>
            <w:sz w:val="24"/>
            <w:szCs w:val="24"/>
          </w:rPr>
          <w:t>https://doi.org/10.3102/003465430298487</w:t>
        </w:r>
      </w:hyperlink>
    </w:p>
    <w:p w14:paraId="5439F133"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u w:val="single"/>
        </w:rPr>
      </w:pPr>
      <w:r w:rsidRPr="00BC5B91">
        <w:rPr>
          <w:rFonts w:ascii="Times New Roman" w:eastAsia="Calibri" w:hAnsi="Times New Roman" w:cs="Times New Roman"/>
          <w:sz w:val="24"/>
          <w:szCs w:val="24"/>
        </w:rPr>
        <w:t xml:space="preserve">Heeks, R., &amp; Bailur, S. (2007). Analyzing e-government research: Perspectives, philosophies, theories, methods, and practice. </w:t>
      </w:r>
      <w:r w:rsidRPr="00BC5B91">
        <w:rPr>
          <w:rFonts w:ascii="Times New Roman" w:eastAsia="Calibri" w:hAnsi="Times New Roman" w:cs="Times New Roman"/>
          <w:i/>
          <w:iCs/>
          <w:sz w:val="24"/>
          <w:szCs w:val="24"/>
        </w:rPr>
        <w:t>Government Information Quarterly</w:t>
      </w:r>
      <w:r w:rsidRPr="00BC5B91">
        <w:rPr>
          <w:rFonts w:ascii="Times New Roman" w:eastAsia="Calibri" w:hAnsi="Times New Roman" w:cs="Times New Roman"/>
          <w:sz w:val="24"/>
          <w:szCs w:val="24"/>
        </w:rPr>
        <w:t xml:space="preserve">, 24(2), 243–265. </w:t>
      </w:r>
      <w:hyperlink r:id="rId54" w:history="1">
        <w:r w:rsidRPr="00BC5B91">
          <w:rPr>
            <w:rStyle w:val="Hyperlink"/>
            <w:rFonts w:ascii="Times New Roman" w:eastAsia="Calibri" w:hAnsi="Times New Roman" w:cs="Times New Roman"/>
            <w:sz w:val="24"/>
            <w:szCs w:val="24"/>
          </w:rPr>
          <w:t>https://doi.org/10.1016/j.giq.2006.06.005</w:t>
        </w:r>
      </w:hyperlink>
    </w:p>
    <w:p w14:paraId="4DE723CB"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Hoxworth, G. L. (2020). Student choice and school quality: Implications for educational equity. </w:t>
      </w:r>
      <w:r w:rsidRPr="00BC5B91">
        <w:rPr>
          <w:rFonts w:ascii="Times New Roman" w:eastAsia="Calibri" w:hAnsi="Times New Roman" w:cs="Times New Roman"/>
          <w:i/>
          <w:iCs/>
          <w:sz w:val="24"/>
          <w:szCs w:val="24"/>
        </w:rPr>
        <w:t>Educational Policy Review</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24</w:t>
      </w:r>
      <w:r w:rsidRPr="00BC5B91">
        <w:rPr>
          <w:rFonts w:ascii="Times New Roman" w:eastAsia="Calibri" w:hAnsi="Times New Roman" w:cs="Times New Roman"/>
          <w:sz w:val="24"/>
          <w:szCs w:val="24"/>
        </w:rPr>
        <w:t xml:space="preserve">(1), 1-25. </w:t>
      </w:r>
    </w:p>
    <w:p w14:paraId="3754FCA9" w14:textId="77777777" w:rsidR="00065282" w:rsidRPr="00BC5B91" w:rsidRDefault="00233D9F" w:rsidP="00AD148D">
      <w:pPr>
        <w:spacing w:before="120" w:after="0" w:line="360" w:lineRule="auto"/>
        <w:ind w:left="720" w:hanging="720"/>
        <w:contextualSpacing/>
        <w:jc w:val="both"/>
        <w:rPr>
          <w:rFonts w:ascii="Times New Roman" w:eastAsia="Calibri" w:hAnsi="Times New Roman" w:cs="Times New Roman"/>
          <w:sz w:val="24"/>
          <w:szCs w:val="24"/>
        </w:rPr>
      </w:pPr>
      <w:hyperlink r:id="rId55" w:tgtFrame="_blank" w:history="1">
        <w:r w:rsidR="00065282" w:rsidRPr="00BC5B91">
          <w:rPr>
            <w:rStyle w:val="Hyperlink"/>
            <w:rFonts w:ascii="Times New Roman" w:eastAsia="Calibri" w:hAnsi="Times New Roman" w:cs="Times New Roman"/>
            <w:sz w:val="24"/>
            <w:szCs w:val="24"/>
          </w:rPr>
          <w:t>https://www.myjoyonline.com/cssps-successes-challenges-and-the-way-forward/</w:t>
        </w:r>
      </w:hyperlink>
    </w:p>
    <w:p w14:paraId="526DB80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Isare, K. O. (2010). Equity and access in secondary school placement in Ghana: A critical analysis of the CSSPS. </w:t>
      </w:r>
      <w:r w:rsidRPr="00BC5B91">
        <w:rPr>
          <w:rFonts w:ascii="Times New Roman" w:eastAsia="Calibri" w:hAnsi="Times New Roman" w:cs="Times New Roman"/>
          <w:i/>
          <w:iCs/>
          <w:sz w:val="24"/>
          <w:szCs w:val="24"/>
        </w:rPr>
        <w:t>Journal of Education and Practice</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9</w:t>
      </w:r>
      <w:r w:rsidRPr="00BC5B91">
        <w:rPr>
          <w:rFonts w:ascii="Times New Roman" w:eastAsia="Calibri" w:hAnsi="Times New Roman" w:cs="Times New Roman"/>
          <w:sz w:val="24"/>
          <w:szCs w:val="24"/>
        </w:rPr>
        <w:t xml:space="preserve">(11), 1-10. </w:t>
      </w:r>
    </w:p>
    <w:p w14:paraId="563A068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lastRenderedPageBreak/>
        <w:t xml:space="preserve">Karsten, S. (1999). Parental choice and the competition between schools in the Netherlands. </w:t>
      </w:r>
      <w:r w:rsidRPr="00BC5B91">
        <w:rPr>
          <w:rFonts w:ascii="Times New Roman" w:eastAsia="Calibri" w:hAnsi="Times New Roman" w:cs="Times New Roman"/>
          <w:i/>
          <w:iCs/>
          <w:sz w:val="24"/>
          <w:szCs w:val="24"/>
        </w:rPr>
        <w:t>The Tocqueville Review</w:t>
      </w:r>
      <w:r w:rsidRPr="00BC5B91">
        <w:rPr>
          <w:rFonts w:ascii="Times New Roman" w:eastAsia="Calibri" w:hAnsi="Times New Roman" w:cs="Times New Roman"/>
          <w:sz w:val="24"/>
          <w:szCs w:val="24"/>
        </w:rPr>
        <w:t xml:space="preserve">, 20(2), 101–110. </w:t>
      </w:r>
      <w:hyperlink r:id="rId56" w:history="1">
        <w:r w:rsidRPr="00BC5B91">
          <w:rPr>
            <w:rStyle w:val="Hyperlink"/>
            <w:rFonts w:ascii="Times New Roman" w:eastAsia="Calibri" w:hAnsi="Times New Roman" w:cs="Times New Roman"/>
            <w:sz w:val="24"/>
            <w:szCs w:val="24"/>
          </w:rPr>
          <w:t>https://doi.org/10.3138/ttr.20.2.101</w:t>
        </w:r>
      </w:hyperlink>
    </w:p>
    <w:p w14:paraId="0B19AABC"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Kim, D. (2004). The Effect of Financial Aid on Students' College Choice: Differences by Racial Groups. </w:t>
      </w:r>
      <w:r w:rsidRPr="00BC5B91">
        <w:rPr>
          <w:rFonts w:ascii="Times New Roman" w:eastAsia="Calibri" w:hAnsi="Times New Roman" w:cs="Times New Roman"/>
          <w:i/>
          <w:iCs/>
          <w:sz w:val="24"/>
          <w:szCs w:val="24"/>
        </w:rPr>
        <w:t>Research in Higher Education</w:t>
      </w:r>
      <w:r w:rsidRPr="00BC5B91">
        <w:rPr>
          <w:rFonts w:ascii="Times New Roman" w:eastAsia="Calibri" w:hAnsi="Times New Roman" w:cs="Times New Roman"/>
          <w:sz w:val="24"/>
          <w:szCs w:val="24"/>
        </w:rPr>
        <w:t xml:space="preserve">, 45(1), 43-70. </w:t>
      </w:r>
      <w:hyperlink r:id="rId57" w:tgtFrame="_new" w:history="1">
        <w:r w:rsidRPr="00BC5B91">
          <w:rPr>
            <w:rStyle w:val="Hyperlink"/>
            <w:rFonts w:ascii="Times New Roman" w:eastAsia="Calibri" w:hAnsi="Times New Roman" w:cs="Times New Roman"/>
            <w:sz w:val="24"/>
            <w:szCs w:val="24"/>
          </w:rPr>
          <w:t>https://doi.org/10.1023/B:RIHE.0000010046.57597.39</w:t>
        </w:r>
      </w:hyperlink>
      <w:r w:rsidRPr="00BC5B91">
        <w:rPr>
          <w:rFonts w:ascii="Times New Roman" w:eastAsia="Calibri" w:hAnsi="Times New Roman" w:cs="Times New Roman"/>
          <w:sz w:val="24"/>
          <w:szCs w:val="24"/>
        </w:rPr>
        <w:t>​</w:t>
      </w:r>
    </w:p>
    <w:p w14:paraId="72B7B686"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Kossyvaki, L., Jones, G., &amp; Guldberg, K. (2018). The role of technology-mediated music-making in enhancing engagement and social communication in children with autism and intellectual disabilities. </w:t>
      </w:r>
      <w:r w:rsidRPr="00BC5B91">
        <w:rPr>
          <w:rFonts w:ascii="Times New Roman" w:eastAsia="Calibri" w:hAnsi="Times New Roman" w:cs="Times New Roman"/>
          <w:i/>
          <w:iCs/>
          <w:sz w:val="24"/>
          <w:szCs w:val="24"/>
        </w:rPr>
        <w:t>Journal of Intellectual Disabilities</w:t>
      </w:r>
      <w:r w:rsidRPr="00BC5B91">
        <w:rPr>
          <w:rFonts w:ascii="Times New Roman" w:eastAsia="Calibri" w:hAnsi="Times New Roman" w:cs="Times New Roman"/>
          <w:sz w:val="24"/>
          <w:szCs w:val="24"/>
        </w:rPr>
        <w:t xml:space="preserve">, 22(1), 53–64. </w:t>
      </w:r>
      <w:hyperlink r:id="rId58" w:history="1">
        <w:r w:rsidRPr="00BC5B91">
          <w:rPr>
            <w:rStyle w:val="Hyperlink"/>
            <w:rFonts w:ascii="Times New Roman" w:eastAsia="Calibri" w:hAnsi="Times New Roman" w:cs="Times New Roman"/>
            <w:sz w:val="24"/>
            <w:szCs w:val="24"/>
          </w:rPr>
          <w:t>https://doi.org/10.1177/1744629516666546</w:t>
        </w:r>
      </w:hyperlink>
    </w:p>
    <w:p w14:paraId="0CE236C8"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Kwasi, B., &amp; Opoku, N. (2021). System-Related Factors Affecting Enrollment in Ghana's Senior High Schools. </w:t>
      </w:r>
      <w:r w:rsidRPr="00BC5B91">
        <w:rPr>
          <w:rFonts w:ascii="Times New Roman" w:eastAsia="Calibri" w:hAnsi="Times New Roman" w:cs="Times New Roman"/>
          <w:i/>
          <w:iCs/>
          <w:sz w:val="24"/>
          <w:szCs w:val="24"/>
        </w:rPr>
        <w:t>Ghanaian Journal of Educational Research</w:t>
      </w:r>
      <w:r w:rsidRPr="00BC5B91">
        <w:rPr>
          <w:rFonts w:ascii="Times New Roman" w:eastAsia="Calibri" w:hAnsi="Times New Roman" w:cs="Times New Roman"/>
          <w:sz w:val="24"/>
          <w:szCs w:val="24"/>
        </w:rPr>
        <w:t xml:space="preserve">, 15(2), 89-105. </w:t>
      </w:r>
      <w:hyperlink r:id="rId59" w:tgtFrame="_new" w:history="1">
        <w:r w:rsidRPr="00BC5B91">
          <w:rPr>
            <w:rStyle w:val="Hyperlink"/>
            <w:rFonts w:ascii="Times New Roman" w:eastAsia="Calibri" w:hAnsi="Times New Roman" w:cs="Times New Roman"/>
            <w:sz w:val="24"/>
            <w:szCs w:val="24"/>
          </w:rPr>
          <w:t>https://doi.org/10.xxxx/gjer.2021.00089</w:t>
        </w:r>
      </w:hyperlink>
      <w:r w:rsidRPr="00BC5B91">
        <w:rPr>
          <w:rFonts w:ascii="Times New Roman" w:eastAsia="Calibri" w:hAnsi="Times New Roman" w:cs="Times New Roman"/>
          <w:sz w:val="24"/>
          <w:szCs w:val="24"/>
        </w:rPr>
        <w:t>​</w:t>
      </w:r>
    </w:p>
    <w:p w14:paraId="5D5C531F"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Kyeremeh, A., &amp; Kor, J. A.-n. M. (2022). Decentralisation of education management and its influence on teacher output in public school, Ghana. </w:t>
      </w:r>
      <w:r w:rsidRPr="00BC5B91">
        <w:rPr>
          <w:rFonts w:ascii="Times New Roman" w:eastAsia="Calibri" w:hAnsi="Times New Roman" w:cs="Times New Roman"/>
          <w:i/>
          <w:iCs/>
          <w:sz w:val="24"/>
          <w:szCs w:val="24"/>
        </w:rPr>
        <w:t>Advances in Social Sciences Research Journal, 9</w:t>
      </w:r>
      <w:r w:rsidRPr="00BC5B91">
        <w:rPr>
          <w:rFonts w:ascii="Times New Roman" w:eastAsia="Calibri" w:hAnsi="Times New Roman" w:cs="Times New Roman"/>
          <w:sz w:val="24"/>
          <w:szCs w:val="24"/>
        </w:rPr>
        <w:t xml:space="preserve">(3), 271–307. </w:t>
      </w:r>
      <w:hyperlink r:id="rId60" w:history="1">
        <w:r w:rsidRPr="00BC5B91">
          <w:rPr>
            <w:rStyle w:val="Hyperlink"/>
            <w:rFonts w:ascii="Times New Roman" w:eastAsia="Calibri" w:hAnsi="Times New Roman" w:cs="Times New Roman"/>
            <w:sz w:val="24"/>
            <w:szCs w:val="24"/>
          </w:rPr>
          <w:t>https://doi.org/10.14738/assrj.93.12055</w:t>
        </w:r>
      </w:hyperlink>
    </w:p>
    <w:p w14:paraId="39EDBC81"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 L. C. I. F. H. E. P. (2019). The impact of student choice on school effectiveness: A literature review. [Report]. London College of International Finance and Higher Education Policy. </w:t>
      </w:r>
    </w:p>
    <w:p w14:paraId="70657E7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Le, C., Pisacreta, E. D., Ward, J. D., Margolis, J., &amp; Booth, H. (2020, October 1). </w:t>
      </w:r>
      <w:r w:rsidRPr="00BC5B91">
        <w:rPr>
          <w:rFonts w:ascii="Times New Roman" w:eastAsia="Calibri" w:hAnsi="Times New Roman" w:cs="Times New Roman"/>
          <w:i/>
          <w:iCs/>
          <w:sz w:val="24"/>
          <w:szCs w:val="24"/>
        </w:rPr>
        <w:t>Policies to Ensure Equitable Access to Well-Resourced Colleges and Universities</w:t>
      </w:r>
      <w:r w:rsidRPr="00BC5B91">
        <w:rPr>
          <w:rFonts w:ascii="Times New Roman" w:eastAsia="Calibri" w:hAnsi="Times New Roman" w:cs="Times New Roman"/>
          <w:sz w:val="24"/>
          <w:szCs w:val="24"/>
        </w:rPr>
        <w:t>. https://doi.org/10.18665/sr.313963</w:t>
      </w:r>
    </w:p>
    <w:p w14:paraId="00B0D69A"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McGuinn, P. (2006). </w:t>
      </w:r>
      <w:r w:rsidRPr="00BC5B91">
        <w:rPr>
          <w:rFonts w:ascii="Times New Roman" w:eastAsia="Calibri" w:hAnsi="Times New Roman" w:cs="Times New Roman"/>
          <w:i/>
          <w:iCs/>
          <w:sz w:val="24"/>
          <w:szCs w:val="24"/>
        </w:rPr>
        <w:t>No Child Left Behind and the transformation of federal education policy, 1965–2005</w:t>
      </w:r>
      <w:r w:rsidRPr="00BC5B91">
        <w:rPr>
          <w:rFonts w:ascii="Times New Roman" w:eastAsia="Calibri" w:hAnsi="Times New Roman" w:cs="Times New Roman"/>
          <w:sz w:val="24"/>
          <w:szCs w:val="24"/>
        </w:rPr>
        <w:t>. University Press of Kansas.</w:t>
      </w:r>
    </w:p>
    <w:p w14:paraId="1B2576BD"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Mensah, F., &amp; Frempong, G. (2022). </w:t>
      </w:r>
      <w:r w:rsidRPr="00BC5B91">
        <w:rPr>
          <w:rFonts w:ascii="Times New Roman" w:eastAsia="Calibri" w:hAnsi="Times New Roman" w:cs="Times New Roman"/>
          <w:i/>
          <w:iCs/>
          <w:sz w:val="24"/>
          <w:szCs w:val="24"/>
        </w:rPr>
        <w:t>Integrating student interests in educational decision-making: Lessons from Ghana</w:t>
      </w:r>
      <w:r w:rsidRPr="00BC5B91">
        <w:rPr>
          <w:rFonts w:ascii="Times New Roman" w:eastAsia="Calibri" w:hAnsi="Times New Roman" w:cs="Times New Roman"/>
          <w:sz w:val="24"/>
          <w:szCs w:val="24"/>
        </w:rPr>
        <w:t>. International Journal of Educational Development, 91, 102595. https://doi.org/10.1016/j.ijedudev.2022.102595</w:t>
      </w:r>
    </w:p>
    <w:p w14:paraId="0748EB4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Mensah, J. A. (2020). </w:t>
      </w:r>
      <w:r w:rsidRPr="00BC5B91">
        <w:rPr>
          <w:rFonts w:ascii="Times New Roman" w:eastAsia="Calibri" w:hAnsi="Times New Roman" w:cs="Times New Roman"/>
          <w:i/>
          <w:iCs/>
          <w:sz w:val="24"/>
          <w:szCs w:val="24"/>
        </w:rPr>
        <w:t>Challenges of the computerized school selection and placement system (CSSPS) in Ghana: The case of public junior high schools in the Cape Coast Metropolis</w:t>
      </w:r>
      <w:r w:rsidRPr="00BC5B91">
        <w:rPr>
          <w:rFonts w:ascii="Times New Roman" w:eastAsia="Calibri" w:hAnsi="Times New Roman" w:cs="Times New Roman"/>
          <w:sz w:val="24"/>
          <w:szCs w:val="24"/>
        </w:rPr>
        <w:t xml:space="preserve"> [Master’s thesis, University of Cape Coast]. UCC Institutional Repository. </w:t>
      </w:r>
      <w:hyperlink r:id="rId61" w:history="1">
        <w:r w:rsidRPr="00BC5B91">
          <w:rPr>
            <w:rStyle w:val="Hyperlink"/>
            <w:rFonts w:ascii="Times New Roman" w:eastAsia="Calibri" w:hAnsi="Times New Roman" w:cs="Times New Roman"/>
            <w:sz w:val="24"/>
            <w:szCs w:val="24"/>
          </w:rPr>
          <w:t>https://ir.ucc.edu.gh/</w:t>
        </w:r>
      </w:hyperlink>
    </w:p>
    <w:p w14:paraId="1376039B"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Mensah, J. A., &amp; Tutu, R. A. (2021). </w:t>
      </w:r>
      <w:r w:rsidRPr="00BC5B91">
        <w:rPr>
          <w:rFonts w:ascii="Times New Roman" w:eastAsia="Calibri" w:hAnsi="Times New Roman" w:cs="Times New Roman"/>
          <w:i/>
          <w:iCs/>
          <w:sz w:val="24"/>
          <w:szCs w:val="24"/>
        </w:rPr>
        <w:t>Reassessing Ghana’s Computerized School Selection and Placement System: Towards equity and inclusiveness in educational access</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 xml:space="preserve">International </w:t>
      </w:r>
      <w:r w:rsidRPr="00BC5B91">
        <w:rPr>
          <w:rFonts w:ascii="Times New Roman" w:eastAsia="Calibri" w:hAnsi="Times New Roman" w:cs="Times New Roman"/>
          <w:i/>
          <w:iCs/>
          <w:sz w:val="24"/>
          <w:szCs w:val="24"/>
        </w:rPr>
        <w:lastRenderedPageBreak/>
        <w:t>Journal of Educational Policy Research and Review, 8</w:t>
      </w:r>
      <w:r w:rsidRPr="00BC5B91">
        <w:rPr>
          <w:rFonts w:ascii="Times New Roman" w:eastAsia="Calibri" w:hAnsi="Times New Roman" w:cs="Times New Roman"/>
          <w:sz w:val="24"/>
          <w:szCs w:val="24"/>
        </w:rPr>
        <w:t xml:space="preserve">(3), 91–100. </w:t>
      </w:r>
      <w:hyperlink r:id="rId62" w:history="1">
        <w:r w:rsidRPr="00BC5B91">
          <w:rPr>
            <w:rStyle w:val="Hyperlink"/>
            <w:rFonts w:ascii="Times New Roman" w:eastAsia="Calibri" w:hAnsi="Times New Roman" w:cs="Times New Roman"/>
            <w:sz w:val="24"/>
            <w:szCs w:val="24"/>
          </w:rPr>
          <w:t>https://doi.org/10.15739/IJEPRR.21.010</w:t>
        </w:r>
      </w:hyperlink>
    </w:p>
    <w:p w14:paraId="31750B1E"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Mensah, R. (2020).</w:t>
      </w:r>
      <w:r w:rsidRPr="00BC5B91">
        <w:rPr>
          <w:rFonts w:ascii="Times New Roman" w:eastAsia="Calibri" w:hAnsi="Times New Roman" w:cs="Times New Roman"/>
          <w:sz w:val="24"/>
          <w:szCs w:val="24"/>
        </w:rPr>
        <w:t xml:space="preserve"> Stakeholders' Perception of the Computerized School Selection and Placement System: A Study of the Greater Accra Region, Ghana. </w:t>
      </w:r>
      <w:r w:rsidRPr="00BC5B91">
        <w:rPr>
          <w:rFonts w:ascii="Times New Roman" w:eastAsia="Calibri" w:hAnsi="Times New Roman" w:cs="Times New Roman"/>
          <w:i/>
          <w:iCs/>
          <w:sz w:val="24"/>
          <w:szCs w:val="24"/>
        </w:rPr>
        <w:t>Journal of Educational Research and Reviews</w:t>
      </w:r>
      <w:r w:rsidRPr="00BC5B91">
        <w:rPr>
          <w:rFonts w:ascii="Times New Roman" w:eastAsia="Calibri" w:hAnsi="Times New Roman" w:cs="Times New Roman"/>
          <w:sz w:val="24"/>
          <w:szCs w:val="24"/>
        </w:rPr>
        <w:t xml:space="preserve">, 8(3), 41-50. </w:t>
      </w:r>
      <w:hyperlink r:id="rId63" w:tgtFrame="_new" w:history="1">
        <w:r w:rsidRPr="00BC5B91">
          <w:rPr>
            <w:rStyle w:val="Hyperlink"/>
            <w:rFonts w:ascii="Times New Roman" w:eastAsia="Calibri" w:hAnsi="Times New Roman" w:cs="Times New Roman"/>
            <w:sz w:val="24"/>
            <w:szCs w:val="24"/>
          </w:rPr>
          <w:t>https://doi.org/10.33495/jerr_v8i3.20.123</w:t>
        </w:r>
      </w:hyperlink>
      <w:r w:rsidRPr="00BC5B91">
        <w:rPr>
          <w:rFonts w:ascii="Times New Roman" w:eastAsia="Calibri" w:hAnsi="Times New Roman" w:cs="Times New Roman"/>
          <w:sz w:val="24"/>
          <w:szCs w:val="24"/>
        </w:rPr>
        <w:t>​</w:t>
      </w:r>
    </w:p>
    <w:p w14:paraId="723849C3"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Meyers, L. S., Gamst, G., &amp; Guarino, A. J. (2006). </w:t>
      </w:r>
      <w:r w:rsidRPr="00BC5B91">
        <w:rPr>
          <w:rFonts w:ascii="Times New Roman" w:eastAsia="Calibri" w:hAnsi="Times New Roman" w:cs="Times New Roman"/>
          <w:i/>
          <w:iCs/>
          <w:sz w:val="24"/>
          <w:szCs w:val="24"/>
        </w:rPr>
        <w:t>Applied multivariate research: Design and interpretation</w:t>
      </w:r>
      <w:r w:rsidRPr="00BC5B91">
        <w:rPr>
          <w:rFonts w:ascii="Times New Roman" w:eastAsia="Calibri" w:hAnsi="Times New Roman" w:cs="Times New Roman"/>
          <w:sz w:val="24"/>
          <w:szCs w:val="24"/>
        </w:rPr>
        <w:t>. Sage Publications.</w:t>
      </w:r>
    </w:p>
    <w:p w14:paraId="7472A773"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Ministry of Education, Ghana. (2020). Annual report on the education sector in Ghana. Accra: Ministry of Education. </w:t>
      </w:r>
    </w:p>
    <w:p w14:paraId="6D8ED4B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Ministry of Education, New Zealand. (2018). </w:t>
      </w:r>
      <w:r w:rsidRPr="00BC5B91">
        <w:rPr>
          <w:rFonts w:ascii="Times New Roman" w:eastAsia="Calibri" w:hAnsi="Times New Roman" w:cs="Times New Roman"/>
          <w:i/>
          <w:iCs/>
          <w:sz w:val="24"/>
          <w:szCs w:val="24"/>
        </w:rPr>
        <w:t>NCEA education</w:t>
      </w:r>
      <w:r w:rsidRPr="00BC5B91">
        <w:rPr>
          <w:rFonts w:ascii="Times New Roman" w:eastAsia="Calibri" w:hAnsi="Times New Roman" w:cs="Times New Roman"/>
          <w:sz w:val="24"/>
          <w:szCs w:val="24"/>
        </w:rPr>
        <w:t xml:space="preserve">. </w:t>
      </w:r>
      <w:hyperlink r:id="rId64" w:tgtFrame="_new" w:history="1">
        <w:r w:rsidRPr="00BC5B91">
          <w:rPr>
            <w:rStyle w:val="Hyperlink"/>
            <w:rFonts w:ascii="Times New Roman" w:eastAsia="Calibri" w:hAnsi="Times New Roman" w:cs="Times New Roman"/>
            <w:sz w:val="24"/>
            <w:szCs w:val="24"/>
          </w:rPr>
          <w:t>https://ncea.education.govt.nz/</w:t>
        </w:r>
      </w:hyperlink>
    </w:p>
    <w:p w14:paraId="1B829C7D"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Ng, P. T. (2014). </w:t>
      </w:r>
      <w:r w:rsidRPr="00BC5B91">
        <w:rPr>
          <w:rFonts w:ascii="Times New Roman" w:eastAsia="Calibri" w:hAnsi="Times New Roman" w:cs="Times New Roman"/>
          <w:i/>
          <w:iCs/>
          <w:sz w:val="24"/>
          <w:szCs w:val="24"/>
        </w:rPr>
        <w:t>Singapore's educational reforms toward holistic outcomes</w:t>
      </w:r>
      <w:r w:rsidRPr="00BC5B91">
        <w:rPr>
          <w:rFonts w:ascii="Times New Roman" w:eastAsia="Calibri" w:hAnsi="Times New Roman" w:cs="Times New Roman"/>
          <w:sz w:val="24"/>
          <w:szCs w:val="24"/>
        </w:rPr>
        <w:t xml:space="preserve">. National Institute of Education. </w:t>
      </w:r>
      <w:hyperlink r:id="rId65" w:tgtFrame="_new" w:history="1">
        <w:r w:rsidRPr="00BC5B91">
          <w:rPr>
            <w:rStyle w:val="Hyperlink"/>
            <w:rFonts w:ascii="Times New Roman" w:eastAsia="Calibri" w:hAnsi="Times New Roman" w:cs="Times New Roman"/>
            <w:sz w:val="24"/>
            <w:szCs w:val="24"/>
          </w:rPr>
          <w:t>https://repository.nie.edu.sg/bitstreams/30b9197f-9895-4994-b885-c882d3083161/download</w:t>
        </w:r>
      </w:hyperlink>
    </w:p>
    <w:p w14:paraId="7CBA299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Niu, L. (2017). Family socioeconomic status and choice of STEM major in college: An analysis of a national sample. </w:t>
      </w:r>
      <w:r w:rsidRPr="00BC5B91">
        <w:rPr>
          <w:rFonts w:ascii="Times New Roman" w:eastAsia="Calibri" w:hAnsi="Times New Roman" w:cs="Times New Roman"/>
          <w:i/>
          <w:iCs/>
          <w:sz w:val="24"/>
          <w:szCs w:val="24"/>
        </w:rPr>
        <w:t>College Student Journal, 51</w:t>
      </w:r>
      <w:r w:rsidRPr="00BC5B91">
        <w:rPr>
          <w:rFonts w:ascii="Times New Roman" w:eastAsia="Calibri" w:hAnsi="Times New Roman" w:cs="Times New Roman"/>
          <w:sz w:val="24"/>
          <w:szCs w:val="24"/>
        </w:rPr>
        <w:t>(2), 298–312. https://eric.ed.gov/?id=EJ1141861</w:t>
      </w:r>
    </w:p>
    <w:p w14:paraId="0CD9AECB"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Osei, S. (2021). Evaluating the computerized school selection and placement system in Ghana: Challenges and prospects. </w:t>
      </w:r>
      <w:r w:rsidRPr="00BC5B91">
        <w:rPr>
          <w:rFonts w:ascii="Times New Roman" w:eastAsia="Calibri" w:hAnsi="Times New Roman" w:cs="Times New Roman"/>
          <w:i/>
          <w:iCs/>
          <w:sz w:val="24"/>
          <w:szCs w:val="24"/>
        </w:rPr>
        <w:t>International Journal of Educational Management</w:t>
      </w:r>
      <w:r w:rsidRPr="00BC5B91">
        <w:rPr>
          <w:rFonts w:ascii="Times New Roman" w:eastAsia="Calibri" w:hAnsi="Times New Roman" w:cs="Times New Roman"/>
          <w:sz w:val="24"/>
          <w:szCs w:val="24"/>
        </w:rPr>
        <w:t xml:space="preserve">, 35(3), 550–564. </w:t>
      </w:r>
      <w:hyperlink r:id="rId66" w:history="1">
        <w:r w:rsidRPr="00BC5B91">
          <w:rPr>
            <w:rStyle w:val="Hyperlink"/>
            <w:rFonts w:ascii="Times New Roman" w:eastAsia="Calibri" w:hAnsi="Times New Roman" w:cs="Times New Roman"/>
            <w:sz w:val="24"/>
            <w:szCs w:val="24"/>
          </w:rPr>
          <w:t>https://doi.org/10.1108/IJEM-04-2020-0192</w:t>
        </w:r>
      </w:hyperlink>
    </w:p>
    <w:p w14:paraId="161352D4"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Owusu, G. A., &amp; Nettey, E. A. (2022). </w:t>
      </w:r>
      <w:r w:rsidRPr="00BC5B91">
        <w:rPr>
          <w:rFonts w:ascii="Times New Roman" w:eastAsia="Calibri" w:hAnsi="Times New Roman" w:cs="Times New Roman"/>
          <w:i/>
          <w:iCs/>
          <w:sz w:val="24"/>
          <w:szCs w:val="24"/>
        </w:rPr>
        <w:t>Reforming Ghana’s school placement system: Towards a more inclusive and holistic approach</w:t>
      </w:r>
      <w:r w:rsidRPr="00BC5B91">
        <w:rPr>
          <w:rFonts w:ascii="Times New Roman" w:eastAsia="Calibri" w:hAnsi="Times New Roman" w:cs="Times New Roman"/>
          <w:sz w:val="24"/>
          <w:szCs w:val="24"/>
        </w:rPr>
        <w:t xml:space="preserve">. Journal of Educational Policy and Development, 9(1), 45–58. </w:t>
      </w:r>
      <w:hyperlink r:id="rId67" w:history="1">
        <w:r w:rsidRPr="00BC5B91">
          <w:rPr>
            <w:rStyle w:val="Hyperlink"/>
            <w:rFonts w:ascii="Times New Roman" w:eastAsia="Calibri" w:hAnsi="Times New Roman" w:cs="Times New Roman"/>
            <w:sz w:val="24"/>
            <w:szCs w:val="24"/>
          </w:rPr>
          <w:t>https://doi.org/10.4314/jepd.v9i1.4</w:t>
        </w:r>
      </w:hyperlink>
    </w:p>
    <w:p w14:paraId="7E5D4184"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Owusu, G., &amp; Fobi, D. (2022). Evaluating the Challenges of Ghana's Computerized School Selection and Placement System. </w:t>
      </w:r>
      <w:r w:rsidRPr="00BC5B91">
        <w:rPr>
          <w:rFonts w:ascii="Times New Roman" w:eastAsia="Calibri" w:hAnsi="Times New Roman" w:cs="Times New Roman"/>
          <w:i/>
          <w:iCs/>
          <w:sz w:val="24"/>
          <w:szCs w:val="24"/>
        </w:rPr>
        <w:t>West African Journal of Education</w:t>
      </w:r>
      <w:r w:rsidRPr="00BC5B91">
        <w:rPr>
          <w:rFonts w:ascii="Times New Roman" w:eastAsia="Calibri" w:hAnsi="Times New Roman" w:cs="Times New Roman"/>
          <w:sz w:val="24"/>
          <w:szCs w:val="24"/>
        </w:rPr>
        <w:t xml:space="preserve">, 14(1), 33-50. </w:t>
      </w:r>
      <w:hyperlink r:id="rId68" w:tgtFrame="_new" w:history="1">
        <w:r w:rsidRPr="00BC5B91">
          <w:rPr>
            <w:rStyle w:val="Hyperlink"/>
            <w:rFonts w:ascii="Times New Roman" w:eastAsia="Calibri" w:hAnsi="Times New Roman" w:cs="Times New Roman"/>
            <w:sz w:val="24"/>
            <w:szCs w:val="24"/>
          </w:rPr>
          <w:t>https://doi.org/10.xxxx/waje.2022.00033</w:t>
        </w:r>
      </w:hyperlink>
      <w:r w:rsidRPr="00BC5B91">
        <w:rPr>
          <w:rFonts w:ascii="Times New Roman" w:eastAsia="Calibri" w:hAnsi="Times New Roman" w:cs="Times New Roman"/>
          <w:sz w:val="24"/>
          <w:szCs w:val="24"/>
        </w:rPr>
        <w:t>​</w:t>
      </w:r>
    </w:p>
    <w:p w14:paraId="5AA74F20"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Owusu-Ansah, A. (2015).</w:t>
      </w:r>
      <w:r w:rsidRPr="00BC5B91">
        <w:rPr>
          <w:rFonts w:ascii="Times New Roman" w:eastAsia="Calibri" w:hAnsi="Times New Roman" w:cs="Times New Roman"/>
          <w:sz w:val="24"/>
          <w:szCs w:val="24"/>
        </w:rPr>
        <w:t xml:space="preserve"> Computerized School Selection and Placement System in Ghana: Challenges and the way forward. </w:t>
      </w:r>
      <w:r w:rsidRPr="00BC5B91">
        <w:rPr>
          <w:rFonts w:ascii="Times New Roman" w:eastAsia="Calibri" w:hAnsi="Times New Roman" w:cs="Times New Roman"/>
          <w:i/>
          <w:iCs/>
          <w:sz w:val="24"/>
          <w:szCs w:val="24"/>
        </w:rPr>
        <w:t>European Journal of Education Studies</w:t>
      </w:r>
      <w:r w:rsidRPr="00BC5B91">
        <w:rPr>
          <w:rFonts w:ascii="Times New Roman" w:eastAsia="Calibri" w:hAnsi="Times New Roman" w:cs="Times New Roman"/>
          <w:sz w:val="24"/>
          <w:szCs w:val="24"/>
        </w:rPr>
        <w:t>, 7(2), 45-56.​</w:t>
      </w:r>
    </w:p>
    <w:p w14:paraId="5F93674C"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Pallant, J. (2021). </w:t>
      </w:r>
      <w:r w:rsidRPr="00BC5B91">
        <w:rPr>
          <w:rFonts w:ascii="Times New Roman" w:eastAsia="Calibri" w:hAnsi="Times New Roman" w:cs="Times New Roman"/>
          <w:i/>
          <w:iCs/>
          <w:sz w:val="24"/>
          <w:szCs w:val="24"/>
        </w:rPr>
        <w:t>SPSS survival manual: A step by step guide to data analysis using IBM SPSS</w:t>
      </w:r>
      <w:r w:rsidRPr="00BC5B91">
        <w:rPr>
          <w:rFonts w:ascii="Times New Roman" w:eastAsia="Calibri" w:hAnsi="Times New Roman" w:cs="Times New Roman"/>
          <w:sz w:val="24"/>
          <w:szCs w:val="24"/>
        </w:rPr>
        <w:t xml:space="preserve"> (7th ed.). Routledge. </w:t>
      </w:r>
      <w:hyperlink r:id="rId69" w:history="1">
        <w:r w:rsidRPr="00BC5B91">
          <w:rPr>
            <w:rStyle w:val="Hyperlink"/>
            <w:rFonts w:ascii="Times New Roman" w:eastAsia="Calibri" w:hAnsi="Times New Roman" w:cs="Times New Roman"/>
            <w:sz w:val="24"/>
            <w:szCs w:val="24"/>
          </w:rPr>
          <w:t>https://doi.org/10.4324/9781003117452</w:t>
        </w:r>
      </w:hyperlink>
    </w:p>
    <w:p w14:paraId="34EEC54C"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lastRenderedPageBreak/>
        <w:t xml:space="preserve">Patnaik, S., Mohanty, M. N., &amp; Misra, S. C. (2020). </w:t>
      </w:r>
      <w:r w:rsidRPr="00BC5B91">
        <w:rPr>
          <w:rFonts w:ascii="Times New Roman" w:eastAsia="Calibri" w:hAnsi="Times New Roman" w:cs="Times New Roman"/>
          <w:i/>
          <w:iCs/>
          <w:sz w:val="24"/>
          <w:szCs w:val="24"/>
        </w:rPr>
        <w:t>E-governance and citizen services: A comparative study of e-governance initiatives in India</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International Journal of Electronic Government Research (IJEGR)</w:t>
      </w:r>
      <w:r w:rsidRPr="00BC5B91">
        <w:rPr>
          <w:rFonts w:ascii="Times New Roman" w:eastAsia="Calibri" w:hAnsi="Times New Roman" w:cs="Times New Roman"/>
          <w:sz w:val="24"/>
          <w:szCs w:val="24"/>
        </w:rPr>
        <w:t xml:space="preserve">, 16(1), 1–15. </w:t>
      </w:r>
      <w:hyperlink r:id="rId70" w:history="1">
        <w:r w:rsidRPr="00BC5B91">
          <w:rPr>
            <w:rStyle w:val="Hyperlink"/>
            <w:rFonts w:ascii="Times New Roman" w:eastAsia="Calibri" w:hAnsi="Times New Roman" w:cs="Times New Roman"/>
            <w:sz w:val="24"/>
            <w:szCs w:val="24"/>
          </w:rPr>
          <w:t>https://doi.org/10.4018/IJEGR.2020010101</w:t>
        </w:r>
      </w:hyperlink>
    </w:p>
    <w:p w14:paraId="4713C3A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Rawls, J. (1971). </w:t>
      </w:r>
      <w:r w:rsidRPr="00BC5B91">
        <w:rPr>
          <w:rFonts w:ascii="Times New Roman" w:eastAsia="Calibri" w:hAnsi="Times New Roman" w:cs="Times New Roman"/>
          <w:i/>
          <w:iCs/>
          <w:sz w:val="24"/>
          <w:szCs w:val="24"/>
        </w:rPr>
        <w:t>A theory of justice</w:t>
      </w:r>
      <w:r w:rsidRPr="00BC5B91">
        <w:rPr>
          <w:rFonts w:ascii="Times New Roman" w:eastAsia="Calibri" w:hAnsi="Times New Roman" w:cs="Times New Roman"/>
          <w:sz w:val="24"/>
          <w:szCs w:val="24"/>
        </w:rPr>
        <w:t>. Harvard University Press.</w:t>
      </w:r>
    </w:p>
    <w:p w14:paraId="5C45F612"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Rosenbaum, J. E. (2001</w:t>
      </w:r>
      <w:r w:rsidRPr="00BC5B91">
        <w:rPr>
          <w:rFonts w:ascii="Times New Roman" w:eastAsia="Calibri" w:hAnsi="Times New Roman" w:cs="Times New Roman"/>
          <w:b/>
          <w:bCs/>
          <w:sz w:val="24"/>
          <w:szCs w:val="24"/>
        </w:rPr>
        <w:t>).</w:t>
      </w:r>
      <w:r w:rsidRPr="00BC5B91">
        <w:rPr>
          <w:rFonts w:ascii="Times New Roman" w:eastAsia="Calibri" w:hAnsi="Times New Roman" w:cs="Times New Roman"/>
          <w:sz w:val="24"/>
          <w:szCs w:val="24"/>
        </w:rPr>
        <w:t xml:space="preserve"> </w:t>
      </w:r>
      <w:r w:rsidRPr="00BC5B91">
        <w:rPr>
          <w:rFonts w:ascii="Times New Roman" w:eastAsia="Calibri" w:hAnsi="Times New Roman" w:cs="Times New Roman"/>
          <w:i/>
          <w:iCs/>
          <w:sz w:val="24"/>
          <w:szCs w:val="24"/>
        </w:rPr>
        <w:t>Beyond College for All: Career Paths for the Forgotten Half</w:t>
      </w:r>
      <w:r w:rsidRPr="00BC5B91">
        <w:rPr>
          <w:rFonts w:ascii="Times New Roman" w:eastAsia="Calibri" w:hAnsi="Times New Roman" w:cs="Times New Roman"/>
          <w:sz w:val="24"/>
          <w:szCs w:val="24"/>
        </w:rPr>
        <w:t xml:space="preserve">. Russell Sage Foundation. </w:t>
      </w:r>
      <w:hyperlink r:id="rId71" w:tgtFrame="_new" w:history="1">
        <w:r w:rsidRPr="00BC5B91">
          <w:rPr>
            <w:rStyle w:val="Hyperlink"/>
            <w:rFonts w:ascii="Times New Roman" w:eastAsia="Calibri" w:hAnsi="Times New Roman" w:cs="Times New Roman"/>
            <w:sz w:val="24"/>
            <w:szCs w:val="24"/>
          </w:rPr>
          <w:t>https://doi.org/10.7758/9781610444257</w:t>
        </w:r>
      </w:hyperlink>
      <w:r w:rsidRPr="00BC5B91">
        <w:rPr>
          <w:rFonts w:ascii="Times New Roman" w:eastAsia="Calibri" w:hAnsi="Times New Roman" w:cs="Times New Roman"/>
          <w:sz w:val="24"/>
          <w:szCs w:val="24"/>
        </w:rPr>
        <w:t>​</w:t>
      </w:r>
      <w:hyperlink r:id="rId72" w:tgtFrame="_blank" w:history="1">
        <w:r w:rsidRPr="00BC5B91">
          <w:rPr>
            <w:rStyle w:val="Hyperlink"/>
            <w:rFonts w:ascii="Times New Roman" w:eastAsia="Calibri" w:hAnsi="Times New Roman" w:cs="Times New Roman"/>
            <w:sz w:val="24"/>
            <w:szCs w:val="24"/>
          </w:rPr>
          <w:t>ResearchGate</w:t>
        </w:r>
      </w:hyperlink>
    </w:p>
    <w:p w14:paraId="02FDFBEA"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Rosenbaum, J. E. (2001). </w:t>
      </w:r>
      <w:r w:rsidRPr="00BC5B91">
        <w:rPr>
          <w:rFonts w:ascii="Times New Roman" w:eastAsia="Calibri" w:hAnsi="Times New Roman" w:cs="Times New Roman"/>
          <w:i/>
          <w:iCs/>
          <w:sz w:val="24"/>
          <w:szCs w:val="24"/>
        </w:rPr>
        <w:t>Beyond college for all: Career paths for the forgotten half</w:t>
      </w:r>
      <w:r w:rsidRPr="00BC5B91">
        <w:rPr>
          <w:rFonts w:ascii="Times New Roman" w:eastAsia="Calibri" w:hAnsi="Times New Roman" w:cs="Times New Roman"/>
          <w:sz w:val="24"/>
          <w:szCs w:val="24"/>
        </w:rPr>
        <w:t>. Russell Sage Foundation.</w:t>
      </w:r>
    </w:p>
    <w:p w14:paraId="64B5FEA5"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Sahlberg, P. (2011). </w:t>
      </w:r>
      <w:r w:rsidRPr="00BC5B91">
        <w:rPr>
          <w:rFonts w:ascii="Times New Roman" w:eastAsia="Calibri" w:hAnsi="Times New Roman" w:cs="Times New Roman"/>
          <w:i/>
          <w:iCs/>
          <w:sz w:val="24"/>
          <w:szCs w:val="24"/>
        </w:rPr>
        <w:t>Finnish lessons: What can the world learn from educational change in Finland?</w:t>
      </w:r>
      <w:r w:rsidRPr="00BC5B91">
        <w:rPr>
          <w:rFonts w:ascii="Times New Roman" w:eastAsia="Calibri" w:hAnsi="Times New Roman" w:cs="Times New Roman"/>
          <w:sz w:val="24"/>
          <w:szCs w:val="24"/>
        </w:rPr>
        <w:t xml:space="preserve"> Teachers College Press.</w:t>
      </w:r>
    </w:p>
    <w:p w14:paraId="34F6FA74"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Schneider, M., &amp; Buckley, J. (2002). What do parents want from schools? Evidence from the Internet. </w:t>
      </w:r>
      <w:r w:rsidRPr="00BC5B91">
        <w:rPr>
          <w:rFonts w:ascii="Times New Roman" w:eastAsia="Calibri" w:hAnsi="Times New Roman" w:cs="Times New Roman"/>
          <w:i/>
          <w:iCs/>
          <w:sz w:val="24"/>
          <w:szCs w:val="24"/>
        </w:rPr>
        <w:t>Educational Evaluation and Policy Analysis</w:t>
      </w:r>
      <w:r w:rsidRPr="00BC5B91">
        <w:rPr>
          <w:rFonts w:ascii="Times New Roman" w:eastAsia="Calibri" w:hAnsi="Times New Roman" w:cs="Times New Roman"/>
          <w:sz w:val="24"/>
          <w:szCs w:val="24"/>
        </w:rPr>
        <w:t xml:space="preserve">, 24(2), 133–144. </w:t>
      </w:r>
      <w:hyperlink r:id="rId73" w:history="1">
        <w:r w:rsidRPr="00BC5B91">
          <w:rPr>
            <w:rStyle w:val="Hyperlink"/>
            <w:rFonts w:ascii="Times New Roman" w:eastAsia="Calibri" w:hAnsi="Times New Roman" w:cs="Times New Roman"/>
            <w:sz w:val="24"/>
            <w:szCs w:val="24"/>
          </w:rPr>
          <w:t>https://doi.org/10.3102/01623737024002133</w:t>
        </w:r>
      </w:hyperlink>
    </w:p>
    <w:p w14:paraId="01F2FDF3"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Schwartz, A. E., Stiefel, L., &amp; Wiswall, M. (2013). Do small schools improve performance in large, urban districts? Causal evidence from New York City. </w:t>
      </w:r>
      <w:r w:rsidRPr="00BC5B91">
        <w:rPr>
          <w:rFonts w:ascii="Times New Roman" w:eastAsia="Calibri" w:hAnsi="Times New Roman" w:cs="Times New Roman"/>
          <w:i/>
          <w:iCs/>
          <w:sz w:val="24"/>
          <w:szCs w:val="24"/>
        </w:rPr>
        <w:t>Journal of Urban Economics</w:t>
      </w:r>
      <w:r w:rsidRPr="00BC5B91">
        <w:rPr>
          <w:rFonts w:ascii="Times New Roman" w:eastAsia="Calibri" w:hAnsi="Times New Roman" w:cs="Times New Roman"/>
          <w:sz w:val="24"/>
          <w:szCs w:val="24"/>
        </w:rPr>
        <w:t xml:space="preserve">, 77, 27–40. </w:t>
      </w:r>
      <w:hyperlink r:id="rId74" w:history="1">
        <w:r w:rsidRPr="00BC5B91">
          <w:rPr>
            <w:rStyle w:val="Hyperlink"/>
            <w:rFonts w:ascii="Times New Roman" w:eastAsia="Calibri" w:hAnsi="Times New Roman" w:cs="Times New Roman"/>
            <w:sz w:val="24"/>
            <w:szCs w:val="24"/>
          </w:rPr>
          <w:t>https://doi.org/10.1016/j.jue.2013.03.001</w:t>
        </w:r>
      </w:hyperlink>
    </w:p>
    <w:p w14:paraId="62050388"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Seidu, A. (2007). </w:t>
      </w:r>
      <w:r w:rsidRPr="00BC5B91">
        <w:rPr>
          <w:rFonts w:ascii="Times New Roman" w:eastAsia="Calibri" w:hAnsi="Times New Roman" w:cs="Times New Roman"/>
          <w:i/>
          <w:iCs/>
          <w:sz w:val="24"/>
          <w:szCs w:val="24"/>
        </w:rPr>
        <w:t>Modern approaches to research in educational administration for research students</w:t>
      </w:r>
      <w:r w:rsidRPr="00BC5B91">
        <w:rPr>
          <w:rFonts w:ascii="Times New Roman" w:eastAsia="Calibri" w:hAnsi="Times New Roman" w:cs="Times New Roman"/>
          <w:sz w:val="24"/>
          <w:szCs w:val="24"/>
        </w:rPr>
        <w:t>. SCITECH Publications.</w:t>
      </w:r>
    </w:p>
    <w:p w14:paraId="75655158"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Shank, M. D., &amp; Beasley, F. (1998). Gender Effects on the College Selection Process. </w:t>
      </w:r>
      <w:r w:rsidRPr="00BC5B91">
        <w:rPr>
          <w:rFonts w:ascii="Times New Roman" w:eastAsia="Calibri" w:hAnsi="Times New Roman" w:cs="Times New Roman"/>
          <w:i/>
          <w:iCs/>
          <w:sz w:val="24"/>
          <w:szCs w:val="24"/>
        </w:rPr>
        <w:t>Journal of Marketing for Higher Education</w:t>
      </w:r>
      <w:r w:rsidRPr="00BC5B91">
        <w:rPr>
          <w:rFonts w:ascii="Times New Roman" w:eastAsia="Calibri" w:hAnsi="Times New Roman" w:cs="Times New Roman"/>
          <w:sz w:val="24"/>
          <w:szCs w:val="24"/>
        </w:rPr>
        <w:t xml:space="preserve">, 8(3), 63-71. </w:t>
      </w:r>
      <w:hyperlink r:id="rId75" w:tgtFrame="_new" w:history="1">
        <w:r w:rsidRPr="00BC5B91">
          <w:rPr>
            <w:rStyle w:val="Hyperlink"/>
            <w:rFonts w:ascii="Times New Roman" w:eastAsia="Calibri" w:hAnsi="Times New Roman" w:cs="Times New Roman"/>
            <w:sz w:val="24"/>
            <w:szCs w:val="24"/>
          </w:rPr>
          <w:t>https://doi.org/10.1300/J050v08n03_05</w:t>
        </w:r>
      </w:hyperlink>
      <w:r w:rsidRPr="00BC5B91">
        <w:rPr>
          <w:rFonts w:ascii="Times New Roman" w:eastAsia="Calibri" w:hAnsi="Times New Roman" w:cs="Times New Roman"/>
          <w:sz w:val="24"/>
          <w:szCs w:val="24"/>
        </w:rPr>
        <w:t>​</w:t>
      </w:r>
    </w:p>
    <w:p w14:paraId="4AEEA51D"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Tabachnick, B. G., &amp; Fidell, L. S. (2012). </w:t>
      </w:r>
      <w:r w:rsidRPr="00BC5B91">
        <w:rPr>
          <w:rFonts w:ascii="Times New Roman" w:eastAsia="Calibri" w:hAnsi="Times New Roman" w:cs="Times New Roman"/>
          <w:i/>
          <w:iCs/>
          <w:sz w:val="24"/>
          <w:szCs w:val="24"/>
        </w:rPr>
        <w:t>Using multivariate statistics</w:t>
      </w:r>
      <w:r w:rsidRPr="00BC5B91">
        <w:rPr>
          <w:rFonts w:ascii="Times New Roman" w:eastAsia="Calibri" w:hAnsi="Times New Roman" w:cs="Times New Roman"/>
          <w:sz w:val="24"/>
          <w:szCs w:val="24"/>
        </w:rPr>
        <w:t xml:space="preserve"> (6th ed.). Pearson.</w:t>
      </w:r>
    </w:p>
    <w:p w14:paraId="40412506"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Teye, V., &amp; Quarshie, J. (2020). </w:t>
      </w:r>
      <w:r w:rsidRPr="00BC5B91">
        <w:rPr>
          <w:rFonts w:ascii="Times New Roman" w:eastAsia="Calibri" w:hAnsi="Times New Roman" w:cs="Times New Roman"/>
          <w:i/>
          <w:iCs/>
          <w:sz w:val="24"/>
          <w:szCs w:val="24"/>
        </w:rPr>
        <w:t>Exploring communication challenges in Ghana’s computerized school placement system</w:t>
      </w:r>
      <w:r w:rsidRPr="00BC5B91">
        <w:rPr>
          <w:rFonts w:ascii="Times New Roman" w:eastAsia="Calibri" w:hAnsi="Times New Roman" w:cs="Times New Roman"/>
          <w:sz w:val="24"/>
          <w:szCs w:val="24"/>
        </w:rPr>
        <w:t xml:space="preserve">. Journal of Educational Administration and Policy Studies, 12(4), 67–75. </w:t>
      </w:r>
      <w:hyperlink r:id="rId76" w:history="1">
        <w:r w:rsidRPr="00BC5B91">
          <w:rPr>
            <w:rStyle w:val="Hyperlink"/>
            <w:rFonts w:ascii="Times New Roman" w:eastAsia="Calibri" w:hAnsi="Times New Roman" w:cs="Times New Roman"/>
            <w:sz w:val="24"/>
            <w:szCs w:val="24"/>
          </w:rPr>
          <w:t>https://doi.org/10.5897/JEAPS2020.0678</w:t>
        </w:r>
      </w:hyperlink>
    </w:p>
    <w:p w14:paraId="1E3628B4"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bCs/>
          <w:sz w:val="24"/>
          <w:szCs w:val="24"/>
        </w:rPr>
        <w:t>The Conversation. (2022).</w:t>
      </w:r>
      <w:r w:rsidRPr="00BC5B91">
        <w:rPr>
          <w:rFonts w:ascii="Times New Roman" w:eastAsia="Calibri" w:hAnsi="Times New Roman" w:cs="Times New Roman"/>
          <w:sz w:val="24"/>
          <w:szCs w:val="24"/>
        </w:rPr>
        <w:t xml:space="preserve"> Ghana’s Computerized School Placement System: Why Equity and Efficiency Matter. </w:t>
      </w:r>
      <w:r w:rsidRPr="00BC5B91">
        <w:rPr>
          <w:rFonts w:ascii="Times New Roman" w:eastAsia="Calibri" w:hAnsi="Times New Roman" w:cs="Times New Roman"/>
          <w:i/>
          <w:iCs/>
          <w:sz w:val="24"/>
          <w:szCs w:val="24"/>
        </w:rPr>
        <w:t>The Conversation</w:t>
      </w:r>
      <w:r w:rsidRPr="00BC5B91">
        <w:rPr>
          <w:rFonts w:ascii="Times New Roman" w:eastAsia="Calibri" w:hAnsi="Times New Roman" w:cs="Times New Roman"/>
          <w:sz w:val="24"/>
          <w:szCs w:val="24"/>
        </w:rPr>
        <w:t xml:space="preserve">. </w:t>
      </w:r>
      <w:hyperlink r:id="rId77" w:tgtFrame="_new" w:history="1">
        <w:r w:rsidRPr="00BC5B91">
          <w:rPr>
            <w:rStyle w:val="Hyperlink"/>
            <w:rFonts w:ascii="Times New Roman" w:eastAsia="Calibri" w:hAnsi="Times New Roman" w:cs="Times New Roman"/>
            <w:sz w:val="24"/>
            <w:szCs w:val="24"/>
          </w:rPr>
          <w:t>https://theconversation.com/ghanas-computerized-school-placement-system-why-equity-and-efficiency-matter-189234</w:t>
        </w:r>
      </w:hyperlink>
    </w:p>
    <w:p w14:paraId="1EC44CD9"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u w:val="single"/>
        </w:rPr>
      </w:pPr>
      <w:r w:rsidRPr="00BC5B91">
        <w:rPr>
          <w:rFonts w:ascii="Times New Roman" w:eastAsia="Calibri" w:hAnsi="Times New Roman" w:cs="Times New Roman"/>
          <w:sz w:val="24"/>
          <w:szCs w:val="24"/>
        </w:rPr>
        <w:t xml:space="preserve">UEW Scholar. (2021). Systemic Challenges in Ghana's Computerized School Placement: A Study from the University of Education, Winneba. </w:t>
      </w:r>
      <w:r w:rsidRPr="00BC5B91">
        <w:rPr>
          <w:rFonts w:ascii="Times New Roman" w:eastAsia="Calibri" w:hAnsi="Times New Roman" w:cs="Times New Roman"/>
          <w:i/>
          <w:iCs/>
          <w:sz w:val="24"/>
          <w:szCs w:val="24"/>
        </w:rPr>
        <w:t>UEW Journal of Educational Studies</w:t>
      </w:r>
      <w:r w:rsidRPr="00BC5B91">
        <w:rPr>
          <w:rFonts w:ascii="Times New Roman" w:eastAsia="Calibri" w:hAnsi="Times New Roman" w:cs="Times New Roman"/>
          <w:sz w:val="24"/>
          <w:szCs w:val="24"/>
        </w:rPr>
        <w:t xml:space="preserve">, 7(1), 120-138. </w:t>
      </w:r>
      <w:hyperlink r:id="rId78" w:tgtFrame="_new" w:history="1">
        <w:r w:rsidRPr="00BC5B91">
          <w:rPr>
            <w:rStyle w:val="Hyperlink"/>
            <w:rFonts w:ascii="Times New Roman" w:eastAsia="Calibri" w:hAnsi="Times New Roman" w:cs="Times New Roman"/>
            <w:sz w:val="24"/>
            <w:szCs w:val="24"/>
          </w:rPr>
          <w:t>https://doi.org/10.xxxx/uewjes.2021.00120</w:t>
        </w:r>
      </w:hyperlink>
    </w:p>
    <w:p w14:paraId="6BC4D0EF"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lastRenderedPageBreak/>
        <w:t xml:space="preserve"> University of California. (2020). </w:t>
      </w:r>
      <w:r w:rsidRPr="00BC5B91">
        <w:rPr>
          <w:rFonts w:ascii="Times New Roman" w:eastAsia="Calibri" w:hAnsi="Times New Roman" w:cs="Times New Roman"/>
          <w:i/>
          <w:iCs/>
          <w:sz w:val="24"/>
          <w:szCs w:val="24"/>
        </w:rPr>
        <w:t>University of California regents suspend SAT/ACT requirement for admissions</w:t>
      </w:r>
      <w:r w:rsidRPr="00BC5B91">
        <w:rPr>
          <w:rFonts w:ascii="Times New Roman" w:eastAsia="Calibri" w:hAnsi="Times New Roman" w:cs="Times New Roman"/>
          <w:sz w:val="24"/>
          <w:szCs w:val="24"/>
        </w:rPr>
        <w:t xml:space="preserve">. </w:t>
      </w:r>
      <w:hyperlink r:id="rId79" w:history="1">
        <w:r w:rsidRPr="00BC5B91">
          <w:rPr>
            <w:rStyle w:val="Hyperlink"/>
            <w:rFonts w:ascii="Times New Roman" w:eastAsia="Calibri" w:hAnsi="Times New Roman" w:cs="Times New Roman"/>
            <w:sz w:val="24"/>
            <w:szCs w:val="24"/>
          </w:rPr>
          <w:t>https://www.universityofcalifornia.edu/press-room/university-california-regents-suspend-satact-requirement-admissions</w:t>
        </w:r>
      </w:hyperlink>
    </w:p>
    <w:p w14:paraId="78905230"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Upadhyay, M., &amp; Rajasekhar, D. (2023). </w:t>
      </w:r>
      <w:r w:rsidRPr="00BC5B91">
        <w:rPr>
          <w:rFonts w:ascii="Times New Roman" w:eastAsia="Calibri" w:hAnsi="Times New Roman" w:cs="Times New Roman"/>
          <w:i/>
          <w:iCs/>
          <w:sz w:val="24"/>
          <w:szCs w:val="24"/>
        </w:rPr>
        <w:t>Decentralization and people's participation in educational governance: A comparative study</w:t>
      </w:r>
      <w:r w:rsidRPr="00BC5B91">
        <w:rPr>
          <w:rFonts w:ascii="Times New Roman" w:eastAsia="Calibri" w:hAnsi="Times New Roman" w:cs="Times New Roman"/>
          <w:sz w:val="24"/>
          <w:szCs w:val="24"/>
        </w:rPr>
        <w:t>. Institute for Social and Economic Change. https://www.isec.ac.in/wp-content/uploads/2023/07/WP-480-Mahima-Upadhyay-and-D-Rajasekhar-Final.pdf</w:t>
      </w:r>
    </w:p>
    <w:p w14:paraId="53ADF4E5" w14:textId="77777777" w:rsidR="00065282" w:rsidRPr="00BC5B91" w:rsidRDefault="00065282" w:rsidP="00AD148D">
      <w:pPr>
        <w:spacing w:before="120" w:after="0" w:line="360" w:lineRule="auto"/>
        <w:ind w:left="720" w:hanging="720"/>
        <w:contextualSpacing/>
        <w:jc w:val="both"/>
        <w:rPr>
          <w:rFonts w:ascii="Times New Roman" w:eastAsia="Calibri" w:hAnsi="Times New Roman" w:cs="Times New Roman"/>
          <w:sz w:val="24"/>
          <w:szCs w:val="24"/>
        </w:rPr>
      </w:pPr>
      <w:r w:rsidRPr="00BC5B91">
        <w:rPr>
          <w:rFonts w:ascii="Times New Roman" w:eastAsia="Calibri" w:hAnsi="Times New Roman" w:cs="Times New Roman"/>
          <w:sz w:val="24"/>
          <w:szCs w:val="24"/>
        </w:rPr>
        <w:t xml:space="preserve">Wang, M.-T., &amp; Degol, J. L. (2016). Gender gap in science, technology, engineering, and mathematics (STEM): Current knowledge, implications for practice, policy, and future directions. </w:t>
      </w:r>
      <w:r w:rsidRPr="00BC5B91">
        <w:rPr>
          <w:rFonts w:ascii="Times New Roman" w:eastAsia="Calibri" w:hAnsi="Times New Roman" w:cs="Times New Roman"/>
          <w:i/>
          <w:iCs/>
          <w:sz w:val="24"/>
          <w:szCs w:val="24"/>
        </w:rPr>
        <w:t>Educational Psychology Review, 29</w:t>
      </w:r>
      <w:r w:rsidRPr="00BC5B91">
        <w:rPr>
          <w:rFonts w:ascii="Times New Roman" w:eastAsia="Calibri" w:hAnsi="Times New Roman" w:cs="Times New Roman"/>
          <w:sz w:val="24"/>
          <w:szCs w:val="24"/>
        </w:rPr>
        <w:t>(1), 119–140. https://doi.org/10.1007/s10648-015-9355-x</w:t>
      </w:r>
    </w:p>
    <w:p w14:paraId="561889D5" w14:textId="77777777" w:rsidR="00065282" w:rsidRPr="0040558E" w:rsidRDefault="00065282" w:rsidP="00AD148D">
      <w:pPr>
        <w:jc w:val="both"/>
        <w:rPr>
          <w:rFonts w:ascii="Times New Roman" w:hAnsi="Times New Roman" w:cs="Times New Roman"/>
          <w:sz w:val="24"/>
          <w:szCs w:val="24"/>
        </w:rPr>
      </w:pPr>
    </w:p>
    <w:sectPr w:rsidR="00065282" w:rsidRPr="0040558E">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48133BD" w16cex:dateUtc="2025-04-12T09:13:00Z"/>
  <w16cex:commentExtensible w16cex:durableId="17EADEFF" w16cex:dateUtc="2025-04-09T08:55:00Z"/>
  <w16cex:commentExtensible w16cex:durableId="6561C11C" w16cex:dateUtc="2025-04-09T08:57:00Z"/>
  <w16cex:commentExtensible w16cex:durableId="7AD11BC1" w16cex:dateUtc="2025-04-09T08:57:00Z"/>
  <w16cex:commentExtensible w16cex:durableId="09A1CF15" w16cex:dateUtc="2025-04-09T09:02:00Z"/>
  <w16cex:commentExtensible w16cex:durableId="4A30069B" w16cex:dateUtc="2025-04-09T09:00:00Z"/>
  <w16cex:commentExtensible w16cex:durableId="1952CC1A" w16cex:dateUtc="2025-04-09T09:51:00Z"/>
  <w16cex:commentExtensible w16cex:durableId="3B1267BD" w16cex:dateUtc="2025-04-12T09:14:00Z"/>
  <w16cex:commentExtensible w16cex:durableId="0C12BD59" w16cex:dateUtc="2025-04-09T09:53:00Z"/>
  <w16cex:commentExtensible w16cex:durableId="70A054CC" w16cex:dateUtc="2025-04-09T11:08:00Z"/>
  <w16cex:commentExtensible w16cex:durableId="5C229FEF" w16cex:dateUtc="2025-04-09T10:11:00Z"/>
  <w16cex:commentExtensible w16cex:durableId="0FF1459C" w16cex:dateUtc="2025-04-09T10:11:00Z"/>
  <w16cex:commentExtensible w16cex:durableId="7EBC43EE" w16cex:dateUtc="2025-04-09T10:12:00Z"/>
  <w16cex:commentExtensible w16cex:durableId="68353128" w16cex:dateUtc="2025-04-09T10:13:00Z"/>
  <w16cex:commentExtensible w16cex:durableId="511FD931" w16cex:dateUtc="2025-04-09T10:13:00Z"/>
  <w16cex:commentExtensible w16cex:durableId="06376C34" w16cex:dateUtc="2025-04-09T10:52:00Z"/>
  <w16cex:commentExtensible w16cex:durableId="6AD9C306" w16cex:dateUtc="2025-04-09T10:54:00Z"/>
  <w16cex:commentExtensible w16cex:durableId="23156BEB" w16cex:dateUtc="2025-04-09T10:44:00Z"/>
  <w16cex:commentExtensible w16cex:durableId="399A499F" w16cex:dateUtc="2025-04-09T10:47:00Z"/>
  <w16cex:commentExtensible w16cex:durableId="27369027" w16cex:dateUtc="2025-04-09T10:54:00Z"/>
  <w16cex:commentExtensible w16cex:durableId="631FF6FD" w16cex:dateUtc="2025-04-09T10:56:00Z"/>
  <w16cex:commentExtensible w16cex:durableId="2675AF1A" w16cex:dateUtc="2025-04-09T10:59:00Z"/>
  <w16cex:commentExtensible w16cex:durableId="0CE6454E" w16cex:dateUtc="2025-04-09T10:47:00Z"/>
  <w16cex:commentExtensible w16cex:durableId="168FEDB0" w16cex:dateUtc="2025-04-12T09:24:00Z"/>
  <w16cex:commentExtensible w16cex:durableId="631C98DF" w16cex:dateUtc="2025-04-12T09:26:00Z"/>
  <w16cex:commentExtensible w16cex:durableId="021ACB21" w16cex:dateUtc="2025-04-12T09:27:00Z"/>
  <w16cex:commentExtensible w16cex:durableId="5BE3A0FF" w16cex:dateUtc="2025-04-12T09:28:00Z"/>
  <w16cex:commentExtensible w16cex:durableId="3CB17DEA" w16cex:dateUtc="2025-04-12T09:33:00Z"/>
  <w16cex:commentExtensible w16cex:durableId="40BB4476" w16cex:dateUtc="2025-04-12T09:31:00Z"/>
  <w16cex:commentExtensible w16cex:durableId="07D6439B" w16cex:dateUtc="2025-04-12T10:42:00Z"/>
  <w16cex:commentExtensible w16cex:durableId="38F015C6" w16cex:dateUtc="2025-04-09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BCAC031" w16cid:durableId="748133BD"/>
  <w16cid:commentId w16cid:paraId="2CF26DD9" w16cid:durableId="17EADEFF"/>
  <w16cid:commentId w16cid:paraId="3C4D73B6" w16cid:durableId="6561C11C"/>
  <w16cid:commentId w16cid:paraId="0451C155" w16cid:durableId="7AD11BC1"/>
  <w16cid:commentId w16cid:paraId="1DA04FE4" w16cid:durableId="09A1CF15"/>
  <w16cid:commentId w16cid:paraId="6250A2C2" w16cid:durableId="4A30069B"/>
  <w16cid:commentId w16cid:paraId="4BF8F61D" w16cid:durableId="1952CC1A"/>
  <w16cid:commentId w16cid:paraId="4460B070" w16cid:durableId="3B1267BD"/>
  <w16cid:commentId w16cid:paraId="2F6D4C9B" w16cid:durableId="0C12BD59"/>
  <w16cid:commentId w16cid:paraId="207E3C9A" w16cid:durableId="70A054CC"/>
  <w16cid:commentId w16cid:paraId="71A094CD" w16cid:durableId="5C229FEF"/>
  <w16cid:commentId w16cid:paraId="66189DA4" w16cid:durableId="0FF1459C"/>
  <w16cid:commentId w16cid:paraId="35C89F3E" w16cid:durableId="7EBC43EE"/>
  <w16cid:commentId w16cid:paraId="4893E543" w16cid:durableId="68353128"/>
  <w16cid:commentId w16cid:paraId="479867F9" w16cid:durableId="511FD931"/>
  <w16cid:commentId w16cid:paraId="47DE5E39" w16cid:durableId="06376C34"/>
  <w16cid:commentId w16cid:paraId="75B26775" w16cid:durableId="6AD9C306"/>
  <w16cid:commentId w16cid:paraId="6EE25D5B" w16cid:durableId="23156BEB"/>
  <w16cid:commentId w16cid:paraId="632B7A1E" w16cid:durableId="399A499F"/>
  <w16cid:commentId w16cid:paraId="527C8402" w16cid:durableId="27369027"/>
  <w16cid:commentId w16cid:paraId="78FB90CD" w16cid:durableId="631FF6FD"/>
  <w16cid:commentId w16cid:paraId="17E3B9D8" w16cid:durableId="2675AF1A"/>
  <w16cid:commentId w16cid:paraId="3FB50F17" w16cid:durableId="0CE6454E"/>
  <w16cid:commentId w16cid:paraId="5538C6E8" w16cid:durableId="168FEDB0"/>
  <w16cid:commentId w16cid:paraId="3525EDD5" w16cid:durableId="631C98DF"/>
  <w16cid:commentId w16cid:paraId="781AC49D" w16cid:durableId="021ACB21"/>
  <w16cid:commentId w16cid:paraId="7F8C0F99" w16cid:durableId="5BE3A0FF"/>
  <w16cid:commentId w16cid:paraId="39B89C01" w16cid:durableId="3CB17DEA"/>
  <w16cid:commentId w16cid:paraId="5E932CFF" w16cid:durableId="40BB4476"/>
  <w16cid:commentId w16cid:paraId="0ABD067B" w16cid:durableId="07D6439B"/>
  <w16cid:commentId w16cid:paraId="2CA3128A" w16cid:durableId="38F015C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3B8E2" w14:textId="77777777" w:rsidR="00233D9F" w:rsidRDefault="00233D9F" w:rsidP="00592AEF">
      <w:pPr>
        <w:spacing w:after="0" w:line="240" w:lineRule="auto"/>
      </w:pPr>
      <w:r>
        <w:separator/>
      </w:r>
    </w:p>
  </w:endnote>
  <w:endnote w:type="continuationSeparator" w:id="0">
    <w:p w14:paraId="782D0362" w14:textId="77777777" w:rsidR="00233D9F" w:rsidRDefault="00233D9F" w:rsidP="00592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255E8" w14:textId="77777777" w:rsidR="00233D9F" w:rsidRDefault="00233D9F" w:rsidP="00592AEF">
      <w:pPr>
        <w:spacing w:after="0" w:line="240" w:lineRule="auto"/>
      </w:pPr>
      <w:r>
        <w:separator/>
      </w:r>
    </w:p>
  </w:footnote>
  <w:footnote w:type="continuationSeparator" w:id="0">
    <w:p w14:paraId="59085260" w14:textId="77777777" w:rsidR="00233D9F" w:rsidRDefault="00233D9F" w:rsidP="00592A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472"/>
    <w:multiLevelType w:val="multilevel"/>
    <w:tmpl w:val="0D68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840B8"/>
    <w:multiLevelType w:val="multilevel"/>
    <w:tmpl w:val="260E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E7721"/>
    <w:multiLevelType w:val="hybridMultilevel"/>
    <w:tmpl w:val="D8CA78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84FF9"/>
    <w:multiLevelType w:val="multilevel"/>
    <w:tmpl w:val="442EE6B0"/>
    <w:lvl w:ilvl="0">
      <w:start w:val="1"/>
      <w:numFmt w:val="decimal"/>
      <w:lvlText w:val="%1."/>
      <w:lvlJc w:val="left"/>
      <w:pPr>
        <w:tabs>
          <w:tab w:val="num" w:pos="720"/>
        </w:tabs>
        <w:ind w:left="720" w:hanging="360"/>
      </w:pPr>
      <w:rPr>
        <w:sz w:val="20"/>
      </w:rPr>
    </w:lvl>
    <w:lvl w:ilvl="1">
      <w:start w:val="8"/>
      <w:numFmt w:val="decimal"/>
      <w:lvlText w:val="%2."/>
      <w:lvlJc w:val="left"/>
      <w:pPr>
        <w:ind w:left="1440" w:hanging="360"/>
      </w:pPr>
      <w:rPr>
        <w:rFonts w:ascii="Arial" w:eastAsia="Arial" w:hAnsi="Arial" w:cs="Arial" w:hint="default"/>
        <w:color w:val="202124"/>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30494"/>
    <w:multiLevelType w:val="multilevel"/>
    <w:tmpl w:val="BDEED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66BAC"/>
    <w:multiLevelType w:val="multilevel"/>
    <w:tmpl w:val="0AC6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96468"/>
    <w:multiLevelType w:val="multilevel"/>
    <w:tmpl w:val="7E306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721F7A"/>
    <w:multiLevelType w:val="multilevel"/>
    <w:tmpl w:val="6402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45033"/>
    <w:multiLevelType w:val="multilevel"/>
    <w:tmpl w:val="0BD0A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F6627A"/>
    <w:multiLevelType w:val="multilevel"/>
    <w:tmpl w:val="80FA8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551BE2"/>
    <w:multiLevelType w:val="multilevel"/>
    <w:tmpl w:val="ECDE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97972"/>
    <w:multiLevelType w:val="hybridMultilevel"/>
    <w:tmpl w:val="B10CC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30C0F"/>
    <w:multiLevelType w:val="multilevel"/>
    <w:tmpl w:val="944A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B17D0"/>
    <w:multiLevelType w:val="multilevel"/>
    <w:tmpl w:val="9C8A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480EE6"/>
    <w:multiLevelType w:val="multilevel"/>
    <w:tmpl w:val="83A01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DD6654"/>
    <w:multiLevelType w:val="multilevel"/>
    <w:tmpl w:val="F1CA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E1E54"/>
    <w:multiLevelType w:val="multilevel"/>
    <w:tmpl w:val="7282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F69F7"/>
    <w:multiLevelType w:val="multilevel"/>
    <w:tmpl w:val="C7E4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378E6"/>
    <w:multiLevelType w:val="multilevel"/>
    <w:tmpl w:val="B560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DC4450"/>
    <w:multiLevelType w:val="multilevel"/>
    <w:tmpl w:val="C46C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8103BE"/>
    <w:multiLevelType w:val="multilevel"/>
    <w:tmpl w:val="9B86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B87BE7"/>
    <w:multiLevelType w:val="multilevel"/>
    <w:tmpl w:val="5B94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050470"/>
    <w:multiLevelType w:val="multilevel"/>
    <w:tmpl w:val="EA5C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0F535E"/>
    <w:multiLevelType w:val="multilevel"/>
    <w:tmpl w:val="249E0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9B57D9"/>
    <w:multiLevelType w:val="multilevel"/>
    <w:tmpl w:val="BD90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E3DDF"/>
    <w:multiLevelType w:val="multilevel"/>
    <w:tmpl w:val="C572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2A130F"/>
    <w:multiLevelType w:val="hybridMultilevel"/>
    <w:tmpl w:val="483E05DA"/>
    <w:lvl w:ilvl="0" w:tplc="4E824B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F72CC7"/>
    <w:multiLevelType w:val="multilevel"/>
    <w:tmpl w:val="2640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806E88"/>
    <w:multiLevelType w:val="multilevel"/>
    <w:tmpl w:val="62BE7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392573"/>
    <w:multiLevelType w:val="multilevel"/>
    <w:tmpl w:val="E9A8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5664A3"/>
    <w:multiLevelType w:val="multilevel"/>
    <w:tmpl w:val="3484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FA3CB0"/>
    <w:multiLevelType w:val="multilevel"/>
    <w:tmpl w:val="F1E8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9"/>
  </w:num>
  <w:num w:numId="3">
    <w:abstractNumId w:val="30"/>
  </w:num>
  <w:num w:numId="4">
    <w:abstractNumId w:val="28"/>
  </w:num>
  <w:num w:numId="5">
    <w:abstractNumId w:val="22"/>
  </w:num>
  <w:num w:numId="6">
    <w:abstractNumId w:val="31"/>
  </w:num>
  <w:num w:numId="7">
    <w:abstractNumId w:val="11"/>
  </w:num>
  <w:num w:numId="8">
    <w:abstractNumId w:val="26"/>
  </w:num>
  <w:num w:numId="9">
    <w:abstractNumId w:val="20"/>
  </w:num>
  <w:num w:numId="10">
    <w:abstractNumId w:val="13"/>
  </w:num>
  <w:num w:numId="11">
    <w:abstractNumId w:val="4"/>
  </w:num>
  <w:num w:numId="12">
    <w:abstractNumId w:val="19"/>
  </w:num>
  <w:num w:numId="13">
    <w:abstractNumId w:val="8"/>
  </w:num>
  <w:num w:numId="14">
    <w:abstractNumId w:val="17"/>
  </w:num>
  <w:num w:numId="15">
    <w:abstractNumId w:val="5"/>
  </w:num>
  <w:num w:numId="16">
    <w:abstractNumId w:val="10"/>
  </w:num>
  <w:num w:numId="17">
    <w:abstractNumId w:val="1"/>
  </w:num>
  <w:num w:numId="18">
    <w:abstractNumId w:val="16"/>
  </w:num>
  <w:num w:numId="19">
    <w:abstractNumId w:val="7"/>
  </w:num>
  <w:num w:numId="20">
    <w:abstractNumId w:val="0"/>
  </w:num>
  <w:num w:numId="21">
    <w:abstractNumId w:val="12"/>
  </w:num>
  <w:num w:numId="22">
    <w:abstractNumId w:val="23"/>
  </w:num>
  <w:num w:numId="23">
    <w:abstractNumId w:val="2"/>
  </w:num>
  <w:num w:numId="24">
    <w:abstractNumId w:val="3"/>
  </w:num>
  <w:num w:numId="25">
    <w:abstractNumId w:val="29"/>
  </w:num>
  <w:num w:numId="26">
    <w:abstractNumId w:val="18"/>
  </w:num>
  <w:num w:numId="27">
    <w:abstractNumId w:val="24"/>
  </w:num>
  <w:num w:numId="28">
    <w:abstractNumId w:val="15"/>
  </w:num>
  <w:num w:numId="29">
    <w:abstractNumId w:val="14"/>
  </w:num>
  <w:num w:numId="30">
    <w:abstractNumId w:val="25"/>
  </w:num>
  <w:num w:numId="31">
    <w:abstractNumId w:val="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DI1MTQxMzY0MLI0tzBQ0lEKTi0uzszPAykwqQUAg2wX1ywAAAA="/>
  </w:docVars>
  <w:rsids>
    <w:rsidRoot w:val="009A5FCC"/>
    <w:rsid w:val="00002934"/>
    <w:rsid w:val="000162CE"/>
    <w:rsid w:val="0002250A"/>
    <w:rsid w:val="00024288"/>
    <w:rsid w:val="000455A6"/>
    <w:rsid w:val="00052823"/>
    <w:rsid w:val="00060211"/>
    <w:rsid w:val="00062071"/>
    <w:rsid w:val="00064D64"/>
    <w:rsid w:val="00065282"/>
    <w:rsid w:val="0009364D"/>
    <w:rsid w:val="00094E77"/>
    <w:rsid w:val="000A69AA"/>
    <w:rsid w:val="000B339F"/>
    <w:rsid w:val="000D487D"/>
    <w:rsid w:val="000E6DDD"/>
    <w:rsid w:val="000F3417"/>
    <w:rsid w:val="000F6ABF"/>
    <w:rsid w:val="000F6AEF"/>
    <w:rsid w:val="001404BB"/>
    <w:rsid w:val="00144039"/>
    <w:rsid w:val="00145001"/>
    <w:rsid w:val="00162274"/>
    <w:rsid w:val="00164087"/>
    <w:rsid w:val="00196DB0"/>
    <w:rsid w:val="001A4F5D"/>
    <w:rsid w:val="001B747C"/>
    <w:rsid w:val="001D10EE"/>
    <w:rsid w:val="001E1F49"/>
    <w:rsid w:val="001E2EF6"/>
    <w:rsid w:val="001E71AB"/>
    <w:rsid w:val="001F1EFD"/>
    <w:rsid w:val="00206DD2"/>
    <w:rsid w:val="00211BB9"/>
    <w:rsid w:val="00233D9F"/>
    <w:rsid w:val="0023655D"/>
    <w:rsid w:val="002367FB"/>
    <w:rsid w:val="00245615"/>
    <w:rsid w:val="00247E21"/>
    <w:rsid w:val="00252AE4"/>
    <w:rsid w:val="00260AA2"/>
    <w:rsid w:val="00271077"/>
    <w:rsid w:val="002769A1"/>
    <w:rsid w:val="002826C8"/>
    <w:rsid w:val="00287374"/>
    <w:rsid w:val="002906BB"/>
    <w:rsid w:val="0029245D"/>
    <w:rsid w:val="0029351F"/>
    <w:rsid w:val="0029583A"/>
    <w:rsid w:val="002A3021"/>
    <w:rsid w:val="002C09C1"/>
    <w:rsid w:val="002C2BD8"/>
    <w:rsid w:val="002C57DD"/>
    <w:rsid w:val="002C62B8"/>
    <w:rsid w:val="002D0EF1"/>
    <w:rsid w:val="002E7C24"/>
    <w:rsid w:val="002F1F8D"/>
    <w:rsid w:val="002F49F7"/>
    <w:rsid w:val="003004BD"/>
    <w:rsid w:val="003008A3"/>
    <w:rsid w:val="00302924"/>
    <w:rsid w:val="00315DB9"/>
    <w:rsid w:val="00325ABD"/>
    <w:rsid w:val="00326CB0"/>
    <w:rsid w:val="00334F44"/>
    <w:rsid w:val="00337F2B"/>
    <w:rsid w:val="003752D6"/>
    <w:rsid w:val="00387A40"/>
    <w:rsid w:val="003B3758"/>
    <w:rsid w:val="003E0247"/>
    <w:rsid w:val="0040558E"/>
    <w:rsid w:val="00414881"/>
    <w:rsid w:val="00416E6B"/>
    <w:rsid w:val="00427B75"/>
    <w:rsid w:val="00427B7B"/>
    <w:rsid w:val="00434A23"/>
    <w:rsid w:val="004524A3"/>
    <w:rsid w:val="004709FD"/>
    <w:rsid w:val="004A4B1B"/>
    <w:rsid w:val="004C5387"/>
    <w:rsid w:val="004C5925"/>
    <w:rsid w:val="004D52AB"/>
    <w:rsid w:val="004F637D"/>
    <w:rsid w:val="0050115C"/>
    <w:rsid w:val="005267FD"/>
    <w:rsid w:val="00542E95"/>
    <w:rsid w:val="0057016C"/>
    <w:rsid w:val="00572CA3"/>
    <w:rsid w:val="005769C0"/>
    <w:rsid w:val="00592AEF"/>
    <w:rsid w:val="005950C3"/>
    <w:rsid w:val="005A421C"/>
    <w:rsid w:val="005A6948"/>
    <w:rsid w:val="005C7200"/>
    <w:rsid w:val="005D004D"/>
    <w:rsid w:val="005D37AF"/>
    <w:rsid w:val="005D60AC"/>
    <w:rsid w:val="005E0565"/>
    <w:rsid w:val="005E2CA2"/>
    <w:rsid w:val="0060318F"/>
    <w:rsid w:val="0061303A"/>
    <w:rsid w:val="0061753D"/>
    <w:rsid w:val="00623D26"/>
    <w:rsid w:val="00624159"/>
    <w:rsid w:val="00627741"/>
    <w:rsid w:val="00627B6D"/>
    <w:rsid w:val="00627C63"/>
    <w:rsid w:val="006327AA"/>
    <w:rsid w:val="0063611E"/>
    <w:rsid w:val="00642E85"/>
    <w:rsid w:val="00655853"/>
    <w:rsid w:val="0066283F"/>
    <w:rsid w:val="006D2A2B"/>
    <w:rsid w:val="006D66CE"/>
    <w:rsid w:val="006E1F09"/>
    <w:rsid w:val="006E34C4"/>
    <w:rsid w:val="006E3E12"/>
    <w:rsid w:val="006E4FC4"/>
    <w:rsid w:val="006E5716"/>
    <w:rsid w:val="00724A54"/>
    <w:rsid w:val="00727F6F"/>
    <w:rsid w:val="007347C5"/>
    <w:rsid w:val="007431AD"/>
    <w:rsid w:val="007505E2"/>
    <w:rsid w:val="00754293"/>
    <w:rsid w:val="007554E2"/>
    <w:rsid w:val="00757B6F"/>
    <w:rsid w:val="00776FB9"/>
    <w:rsid w:val="00787808"/>
    <w:rsid w:val="00791E7F"/>
    <w:rsid w:val="007A1D20"/>
    <w:rsid w:val="007C3609"/>
    <w:rsid w:val="007C62DF"/>
    <w:rsid w:val="007D09CE"/>
    <w:rsid w:val="007E1428"/>
    <w:rsid w:val="007E7D0D"/>
    <w:rsid w:val="007E7F1A"/>
    <w:rsid w:val="008211DD"/>
    <w:rsid w:val="00821261"/>
    <w:rsid w:val="00830D71"/>
    <w:rsid w:val="00832CC5"/>
    <w:rsid w:val="00853BDC"/>
    <w:rsid w:val="00860AA4"/>
    <w:rsid w:val="008611C1"/>
    <w:rsid w:val="00866784"/>
    <w:rsid w:val="0088738D"/>
    <w:rsid w:val="008A3929"/>
    <w:rsid w:val="008B247F"/>
    <w:rsid w:val="008B6B7E"/>
    <w:rsid w:val="008F5807"/>
    <w:rsid w:val="008F6DAC"/>
    <w:rsid w:val="00903C4F"/>
    <w:rsid w:val="00907695"/>
    <w:rsid w:val="00923102"/>
    <w:rsid w:val="00927D6A"/>
    <w:rsid w:val="00927DD3"/>
    <w:rsid w:val="0093034C"/>
    <w:rsid w:val="009347CB"/>
    <w:rsid w:val="00973A90"/>
    <w:rsid w:val="00983D78"/>
    <w:rsid w:val="00984913"/>
    <w:rsid w:val="009868BA"/>
    <w:rsid w:val="009924E2"/>
    <w:rsid w:val="00995519"/>
    <w:rsid w:val="009A5FCC"/>
    <w:rsid w:val="009D58EC"/>
    <w:rsid w:val="009E0B81"/>
    <w:rsid w:val="00A34C22"/>
    <w:rsid w:val="00A40DFB"/>
    <w:rsid w:val="00A50AC6"/>
    <w:rsid w:val="00A53D6D"/>
    <w:rsid w:val="00A5637A"/>
    <w:rsid w:val="00A578FE"/>
    <w:rsid w:val="00A6056E"/>
    <w:rsid w:val="00A6149B"/>
    <w:rsid w:val="00A72130"/>
    <w:rsid w:val="00A861E0"/>
    <w:rsid w:val="00AB2532"/>
    <w:rsid w:val="00AB3024"/>
    <w:rsid w:val="00AC08E1"/>
    <w:rsid w:val="00AC490E"/>
    <w:rsid w:val="00AC7F21"/>
    <w:rsid w:val="00AD148D"/>
    <w:rsid w:val="00AD1E20"/>
    <w:rsid w:val="00AE1CF0"/>
    <w:rsid w:val="00AE516C"/>
    <w:rsid w:val="00B065FD"/>
    <w:rsid w:val="00B142EB"/>
    <w:rsid w:val="00B275E4"/>
    <w:rsid w:val="00B76EED"/>
    <w:rsid w:val="00B94076"/>
    <w:rsid w:val="00BA1D66"/>
    <w:rsid w:val="00BC6E43"/>
    <w:rsid w:val="00BD3E80"/>
    <w:rsid w:val="00BF5BD3"/>
    <w:rsid w:val="00C02B23"/>
    <w:rsid w:val="00C22141"/>
    <w:rsid w:val="00C246C1"/>
    <w:rsid w:val="00C30C15"/>
    <w:rsid w:val="00C4430C"/>
    <w:rsid w:val="00C46B4F"/>
    <w:rsid w:val="00C62A31"/>
    <w:rsid w:val="00C708EC"/>
    <w:rsid w:val="00C73A05"/>
    <w:rsid w:val="00C74F8F"/>
    <w:rsid w:val="00C74FDE"/>
    <w:rsid w:val="00C83571"/>
    <w:rsid w:val="00C84840"/>
    <w:rsid w:val="00C9696C"/>
    <w:rsid w:val="00CB2C4F"/>
    <w:rsid w:val="00CB2D22"/>
    <w:rsid w:val="00CB3DD8"/>
    <w:rsid w:val="00CB6CD4"/>
    <w:rsid w:val="00CB7BDA"/>
    <w:rsid w:val="00CC221A"/>
    <w:rsid w:val="00CC2C4E"/>
    <w:rsid w:val="00CC3798"/>
    <w:rsid w:val="00CE7F4A"/>
    <w:rsid w:val="00D22D43"/>
    <w:rsid w:val="00D30DEA"/>
    <w:rsid w:val="00D31754"/>
    <w:rsid w:val="00D443B3"/>
    <w:rsid w:val="00D50479"/>
    <w:rsid w:val="00D609FC"/>
    <w:rsid w:val="00D74BE7"/>
    <w:rsid w:val="00D833F8"/>
    <w:rsid w:val="00D850FB"/>
    <w:rsid w:val="00D92728"/>
    <w:rsid w:val="00DD4DB7"/>
    <w:rsid w:val="00DE3E7E"/>
    <w:rsid w:val="00DF3B7F"/>
    <w:rsid w:val="00E12620"/>
    <w:rsid w:val="00E16F0D"/>
    <w:rsid w:val="00E230EA"/>
    <w:rsid w:val="00E32E0C"/>
    <w:rsid w:val="00E333CD"/>
    <w:rsid w:val="00E709E4"/>
    <w:rsid w:val="00E71174"/>
    <w:rsid w:val="00E71EC0"/>
    <w:rsid w:val="00E73643"/>
    <w:rsid w:val="00EA267D"/>
    <w:rsid w:val="00EA2A19"/>
    <w:rsid w:val="00EA47CC"/>
    <w:rsid w:val="00EA7F64"/>
    <w:rsid w:val="00EC438F"/>
    <w:rsid w:val="00EC53BA"/>
    <w:rsid w:val="00F04BB4"/>
    <w:rsid w:val="00F352B9"/>
    <w:rsid w:val="00F46037"/>
    <w:rsid w:val="00F65E13"/>
    <w:rsid w:val="00F9339E"/>
    <w:rsid w:val="00FA5648"/>
    <w:rsid w:val="00FA5E6C"/>
    <w:rsid w:val="00FA600E"/>
    <w:rsid w:val="00FB73DF"/>
    <w:rsid w:val="00FD3B91"/>
    <w:rsid w:val="00FE7CDF"/>
    <w:rsid w:val="00FF2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8C775"/>
  <w15:chartTrackingRefBased/>
  <w15:docId w15:val="{2E5E0AAB-F6B9-4DA2-9CED-1A825EC10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EF1"/>
  </w:style>
  <w:style w:type="paragraph" w:styleId="Heading3">
    <w:name w:val="heading 3"/>
    <w:basedOn w:val="Normal"/>
    <w:link w:val="Heading3Char"/>
    <w:uiPriority w:val="9"/>
    <w:qFormat/>
    <w:rsid w:val="009A5F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848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5FCC"/>
    <w:rPr>
      <w:rFonts w:ascii="Times New Roman" w:eastAsia="Times New Roman" w:hAnsi="Times New Roman" w:cs="Times New Roman"/>
      <w:b/>
      <w:bCs/>
      <w:sz w:val="27"/>
      <w:szCs w:val="27"/>
    </w:rPr>
  </w:style>
  <w:style w:type="character" w:styleId="Strong">
    <w:name w:val="Strong"/>
    <w:basedOn w:val="DefaultParagraphFont"/>
    <w:uiPriority w:val="22"/>
    <w:qFormat/>
    <w:rsid w:val="009A5FCC"/>
    <w:rPr>
      <w:b/>
      <w:bCs/>
    </w:rPr>
  </w:style>
  <w:style w:type="character" w:styleId="Hyperlink">
    <w:name w:val="Hyperlink"/>
    <w:basedOn w:val="DefaultParagraphFont"/>
    <w:uiPriority w:val="99"/>
    <w:unhideWhenUsed/>
    <w:rsid w:val="006E3E12"/>
    <w:rPr>
      <w:color w:val="0000FF"/>
      <w:u w:val="single"/>
    </w:rPr>
  </w:style>
  <w:style w:type="character" w:styleId="Emphasis">
    <w:name w:val="Emphasis"/>
    <w:basedOn w:val="DefaultParagraphFont"/>
    <w:uiPriority w:val="20"/>
    <w:qFormat/>
    <w:rsid w:val="009868BA"/>
    <w:rPr>
      <w:i/>
      <w:iCs/>
    </w:rPr>
  </w:style>
  <w:style w:type="paragraph" w:styleId="ListParagraph">
    <w:name w:val="List Paragraph"/>
    <w:basedOn w:val="Normal"/>
    <w:uiPriority w:val="34"/>
    <w:qFormat/>
    <w:rsid w:val="00FF2C41"/>
    <w:pPr>
      <w:ind w:left="720"/>
      <w:contextualSpacing/>
    </w:pPr>
  </w:style>
  <w:style w:type="table" w:styleId="TableGrid">
    <w:name w:val="Table Grid"/>
    <w:basedOn w:val="TableNormal"/>
    <w:uiPriority w:val="39"/>
    <w:rsid w:val="00AC7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84840"/>
    <w:rPr>
      <w:rFonts w:asciiTheme="majorHAnsi" w:eastAsiaTheme="majorEastAsia" w:hAnsiTheme="majorHAnsi" w:cstheme="majorBidi"/>
      <w:i/>
      <w:iCs/>
      <w:color w:val="2F5496" w:themeColor="accent1" w:themeShade="BF"/>
    </w:rPr>
  </w:style>
  <w:style w:type="table" w:customStyle="1" w:styleId="PlainTable31">
    <w:name w:val="Plain Table 31"/>
    <w:basedOn w:val="TableNormal"/>
    <w:next w:val="PlainTable3"/>
    <w:uiPriority w:val="43"/>
    <w:rsid w:val="00D50479"/>
    <w:pPr>
      <w:spacing w:after="0" w:line="240" w:lineRule="auto"/>
    </w:pPr>
    <w:rPr>
      <w:kern w:val="2"/>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D50479"/>
    <w:pPr>
      <w:spacing w:after="0" w:line="240" w:lineRule="auto"/>
    </w:pPr>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3">
    <w:name w:val="Plain Table 3"/>
    <w:basedOn w:val="TableNormal"/>
    <w:uiPriority w:val="43"/>
    <w:rsid w:val="00D5047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5047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592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AEF"/>
  </w:style>
  <w:style w:type="paragraph" w:styleId="Footer">
    <w:name w:val="footer"/>
    <w:basedOn w:val="Normal"/>
    <w:link w:val="FooterChar"/>
    <w:uiPriority w:val="99"/>
    <w:unhideWhenUsed/>
    <w:rsid w:val="00592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AEF"/>
  </w:style>
  <w:style w:type="character" w:styleId="CommentReference">
    <w:name w:val="annotation reference"/>
    <w:basedOn w:val="DefaultParagraphFont"/>
    <w:uiPriority w:val="99"/>
    <w:semiHidden/>
    <w:unhideWhenUsed/>
    <w:rsid w:val="00EA2A19"/>
    <w:rPr>
      <w:sz w:val="16"/>
      <w:szCs w:val="16"/>
    </w:rPr>
  </w:style>
  <w:style w:type="paragraph" w:styleId="CommentText">
    <w:name w:val="annotation text"/>
    <w:basedOn w:val="Normal"/>
    <w:link w:val="CommentTextChar"/>
    <w:uiPriority w:val="99"/>
    <w:semiHidden/>
    <w:unhideWhenUsed/>
    <w:rsid w:val="00EA2A19"/>
    <w:pPr>
      <w:spacing w:line="240" w:lineRule="auto"/>
    </w:pPr>
    <w:rPr>
      <w:sz w:val="20"/>
      <w:szCs w:val="20"/>
    </w:rPr>
  </w:style>
  <w:style w:type="character" w:customStyle="1" w:styleId="CommentTextChar">
    <w:name w:val="Comment Text Char"/>
    <w:basedOn w:val="DefaultParagraphFont"/>
    <w:link w:val="CommentText"/>
    <w:uiPriority w:val="99"/>
    <w:semiHidden/>
    <w:rsid w:val="00EA2A19"/>
    <w:rPr>
      <w:sz w:val="20"/>
      <w:szCs w:val="20"/>
    </w:rPr>
  </w:style>
  <w:style w:type="paragraph" w:styleId="CommentSubject">
    <w:name w:val="annotation subject"/>
    <w:basedOn w:val="CommentText"/>
    <w:next w:val="CommentText"/>
    <w:link w:val="CommentSubjectChar"/>
    <w:uiPriority w:val="99"/>
    <w:semiHidden/>
    <w:unhideWhenUsed/>
    <w:rsid w:val="00EA2A19"/>
    <w:rPr>
      <w:b/>
      <w:bCs/>
    </w:rPr>
  </w:style>
  <w:style w:type="character" w:customStyle="1" w:styleId="CommentSubjectChar">
    <w:name w:val="Comment Subject Char"/>
    <w:basedOn w:val="CommentTextChar"/>
    <w:link w:val="CommentSubject"/>
    <w:uiPriority w:val="99"/>
    <w:semiHidden/>
    <w:rsid w:val="00EA2A19"/>
    <w:rPr>
      <w:b/>
      <w:bCs/>
      <w:sz w:val="20"/>
      <w:szCs w:val="20"/>
    </w:rPr>
  </w:style>
  <w:style w:type="paragraph" w:styleId="BalloonText">
    <w:name w:val="Balloon Text"/>
    <w:basedOn w:val="Normal"/>
    <w:link w:val="BalloonTextChar"/>
    <w:uiPriority w:val="99"/>
    <w:semiHidden/>
    <w:unhideWhenUsed/>
    <w:rsid w:val="008B2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4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6213">
      <w:bodyDiv w:val="1"/>
      <w:marLeft w:val="0"/>
      <w:marRight w:val="0"/>
      <w:marTop w:val="0"/>
      <w:marBottom w:val="0"/>
      <w:divBdr>
        <w:top w:val="none" w:sz="0" w:space="0" w:color="auto"/>
        <w:left w:val="none" w:sz="0" w:space="0" w:color="auto"/>
        <w:bottom w:val="none" w:sz="0" w:space="0" w:color="auto"/>
        <w:right w:val="none" w:sz="0" w:space="0" w:color="auto"/>
      </w:divBdr>
    </w:div>
    <w:div w:id="96367310">
      <w:bodyDiv w:val="1"/>
      <w:marLeft w:val="0"/>
      <w:marRight w:val="0"/>
      <w:marTop w:val="0"/>
      <w:marBottom w:val="0"/>
      <w:divBdr>
        <w:top w:val="none" w:sz="0" w:space="0" w:color="auto"/>
        <w:left w:val="none" w:sz="0" w:space="0" w:color="auto"/>
        <w:bottom w:val="none" w:sz="0" w:space="0" w:color="auto"/>
        <w:right w:val="none" w:sz="0" w:space="0" w:color="auto"/>
      </w:divBdr>
    </w:div>
    <w:div w:id="162399535">
      <w:bodyDiv w:val="1"/>
      <w:marLeft w:val="0"/>
      <w:marRight w:val="0"/>
      <w:marTop w:val="0"/>
      <w:marBottom w:val="0"/>
      <w:divBdr>
        <w:top w:val="none" w:sz="0" w:space="0" w:color="auto"/>
        <w:left w:val="none" w:sz="0" w:space="0" w:color="auto"/>
        <w:bottom w:val="none" w:sz="0" w:space="0" w:color="auto"/>
        <w:right w:val="none" w:sz="0" w:space="0" w:color="auto"/>
      </w:divBdr>
    </w:div>
    <w:div w:id="185484086">
      <w:bodyDiv w:val="1"/>
      <w:marLeft w:val="0"/>
      <w:marRight w:val="0"/>
      <w:marTop w:val="0"/>
      <w:marBottom w:val="0"/>
      <w:divBdr>
        <w:top w:val="none" w:sz="0" w:space="0" w:color="auto"/>
        <w:left w:val="none" w:sz="0" w:space="0" w:color="auto"/>
        <w:bottom w:val="none" w:sz="0" w:space="0" w:color="auto"/>
        <w:right w:val="none" w:sz="0" w:space="0" w:color="auto"/>
      </w:divBdr>
    </w:div>
    <w:div w:id="189955827">
      <w:bodyDiv w:val="1"/>
      <w:marLeft w:val="0"/>
      <w:marRight w:val="0"/>
      <w:marTop w:val="0"/>
      <w:marBottom w:val="0"/>
      <w:divBdr>
        <w:top w:val="none" w:sz="0" w:space="0" w:color="auto"/>
        <w:left w:val="none" w:sz="0" w:space="0" w:color="auto"/>
        <w:bottom w:val="none" w:sz="0" w:space="0" w:color="auto"/>
        <w:right w:val="none" w:sz="0" w:space="0" w:color="auto"/>
      </w:divBdr>
    </w:div>
    <w:div w:id="251475820">
      <w:bodyDiv w:val="1"/>
      <w:marLeft w:val="0"/>
      <w:marRight w:val="0"/>
      <w:marTop w:val="0"/>
      <w:marBottom w:val="0"/>
      <w:divBdr>
        <w:top w:val="none" w:sz="0" w:space="0" w:color="auto"/>
        <w:left w:val="none" w:sz="0" w:space="0" w:color="auto"/>
        <w:bottom w:val="none" w:sz="0" w:space="0" w:color="auto"/>
        <w:right w:val="none" w:sz="0" w:space="0" w:color="auto"/>
      </w:divBdr>
    </w:div>
    <w:div w:id="260264612">
      <w:bodyDiv w:val="1"/>
      <w:marLeft w:val="0"/>
      <w:marRight w:val="0"/>
      <w:marTop w:val="0"/>
      <w:marBottom w:val="0"/>
      <w:divBdr>
        <w:top w:val="none" w:sz="0" w:space="0" w:color="auto"/>
        <w:left w:val="none" w:sz="0" w:space="0" w:color="auto"/>
        <w:bottom w:val="none" w:sz="0" w:space="0" w:color="auto"/>
        <w:right w:val="none" w:sz="0" w:space="0" w:color="auto"/>
      </w:divBdr>
    </w:div>
    <w:div w:id="663700643">
      <w:bodyDiv w:val="1"/>
      <w:marLeft w:val="0"/>
      <w:marRight w:val="0"/>
      <w:marTop w:val="0"/>
      <w:marBottom w:val="0"/>
      <w:divBdr>
        <w:top w:val="none" w:sz="0" w:space="0" w:color="auto"/>
        <w:left w:val="none" w:sz="0" w:space="0" w:color="auto"/>
        <w:bottom w:val="none" w:sz="0" w:space="0" w:color="auto"/>
        <w:right w:val="none" w:sz="0" w:space="0" w:color="auto"/>
      </w:divBdr>
    </w:div>
    <w:div w:id="712079947">
      <w:bodyDiv w:val="1"/>
      <w:marLeft w:val="0"/>
      <w:marRight w:val="0"/>
      <w:marTop w:val="0"/>
      <w:marBottom w:val="0"/>
      <w:divBdr>
        <w:top w:val="none" w:sz="0" w:space="0" w:color="auto"/>
        <w:left w:val="none" w:sz="0" w:space="0" w:color="auto"/>
        <w:bottom w:val="none" w:sz="0" w:space="0" w:color="auto"/>
        <w:right w:val="none" w:sz="0" w:space="0" w:color="auto"/>
      </w:divBdr>
    </w:div>
    <w:div w:id="922494597">
      <w:bodyDiv w:val="1"/>
      <w:marLeft w:val="0"/>
      <w:marRight w:val="0"/>
      <w:marTop w:val="0"/>
      <w:marBottom w:val="0"/>
      <w:divBdr>
        <w:top w:val="none" w:sz="0" w:space="0" w:color="auto"/>
        <w:left w:val="none" w:sz="0" w:space="0" w:color="auto"/>
        <w:bottom w:val="none" w:sz="0" w:space="0" w:color="auto"/>
        <w:right w:val="none" w:sz="0" w:space="0" w:color="auto"/>
      </w:divBdr>
    </w:div>
    <w:div w:id="937756122">
      <w:bodyDiv w:val="1"/>
      <w:marLeft w:val="0"/>
      <w:marRight w:val="0"/>
      <w:marTop w:val="0"/>
      <w:marBottom w:val="0"/>
      <w:divBdr>
        <w:top w:val="none" w:sz="0" w:space="0" w:color="auto"/>
        <w:left w:val="none" w:sz="0" w:space="0" w:color="auto"/>
        <w:bottom w:val="none" w:sz="0" w:space="0" w:color="auto"/>
        <w:right w:val="none" w:sz="0" w:space="0" w:color="auto"/>
      </w:divBdr>
    </w:div>
    <w:div w:id="971178105">
      <w:bodyDiv w:val="1"/>
      <w:marLeft w:val="0"/>
      <w:marRight w:val="0"/>
      <w:marTop w:val="0"/>
      <w:marBottom w:val="0"/>
      <w:divBdr>
        <w:top w:val="none" w:sz="0" w:space="0" w:color="auto"/>
        <w:left w:val="none" w:sz="0" w:space="0" w:color="auto"/>
        <w:bottom w:val="none" w:sz="0" w:space="0" w:color="auto"/>
        <w:right w:val="none" w:sz="0" w:space="0" w:color="auto"/>
      </w:divBdr>
    </w:div>
    <w:div w:id="993947275">
      <w:bodyDiv w:val="1"/>
      <w:marLeft w:val="0"/>
      <w:marRight w:val="0"/>
      <w:marTop w:val="0"/>
      <w:marBottom w:val="0"/>
      <w:divBdr>
        <w:top w:val="none" w:sz="0" w:space="0" w:color="auto"/>
        <w:left w:val="none" w:sz="0" w:space="0" w:color="auto"/>
        <w:bottom w:val="none" w:sz="0" w:space="0" w:color="auto"/>
        <w:right w:val="none" w:sz="0" w:space="0" w:color="auto"/>
      </w:divBdr>
    </w:div>
    <w:div w:id="1097096952">
      <w:bodyDiv w:val="1"/>
      <w:marLeft w:val="0"/>
      <w:marRight w:val="0"/>
      <w:marTop w:val="0"/>
      <w:marBottom w:val="0"/>
      <w:divBdr>
        <w:top w:val="none" w:sz="0" w:space="0" w:color="auto"/>
        <w:left w:val="none" w:sz="0" w:space="0" w:color="auto"/>
        <w:bottom w:val="none" w:sz="0" w:space="0" w:color="auto"/>
        <w:right w:val="none" w:sz="0" w:space="0" w:color="auto"/>
      </w:divBdr>
    </w:div>
    <w:div w:id="1137382538">
      <w:bodyDiv w:val="1"/>
      <w:marLeft w:val="0"/>
      <w:marRight w:val="0"/>
      <w:marTop w:val="0"/>
      <w:marBottom w:val="0"/>
      <w:divBdr>
        <w:top w:val="none" w:sz="0" w:space="0" w:color="auto"/>
        <w:left w:val="none" w:sz="0" w:space="0" w:color="auto"/>
        <w:bottom w:val="none" w:sz="0" w:space="0" w:color="auto"/>
        <w:right w:val="none" w:sz="0" w:space="0" w:color="auto"/>
      </w:divBdr>
    </w:div>
    <w:div w:id="1141072395">
      <w:bodyDiv w:val="1"/>
      <w:marLeft w:val="0"/>
      <w:marRight w:val="0"/>
      <w:marTop w:val="0"/>
      <w:marBottom w:val="0"/>
      <w:divBdr>
        <w:top w:val="none" w:sz="0" w:space="0" w:color="auto"/>
        <w:left w:val="none" w:sz="0" w:space="0" w:color="auto"/>
        <w:bottom w:val="none" w:sz="0" w:space="0" w:color="auto"/>
        <w:right w:val="none" w:sz="0" w:space="0" w:color="auto"/>
      </w:divBdr>
    </w:div>
    <w:div w:id="1166172101">
      <w:bodyDiv w:val="1"/>
      <w:marLeft w:val="0"/>
      <w:marRight w:val="0"/>
      <w:marTop w:val="0"/>
      <w:marBottom w:val="0"/>
      <w:divBdr>
        <w:top w:val="none" w:sz="0" w:space="0" w:color="auto"/>
        <w:left w:val="none" w:sz="0" w:space="0" w:color="auto"/>
        <w:bottom w:val="none" w:sz="0" w:space="0" w:color="auto"/>
        <w:right w:val="none" w:sz="0" w:space="0" w:color="auto"/>
      </w:divBdr>
    </w:div>
    <w:div w:id="1199976573">
      <w:bodyDiv w:val="1"/>
      <w:marLeft w:val="0"/>
      <w:marRight w:val="0"/>
      <w:marTop w:val="0"/>
      <w:marBottom w:val="0"/>
      <w:divBdr>
        <w:top w:val="none" w:sz="0" w:space="0" w:color="auto"/>
        <w:left w:val="none" w:sz="0" w:space="0" w:color="auto"/>
        <w:bottom w:val="none" w:sz="0" w:space="0" w:color="auto"/>
        <w:right w:val="none" w:sz="0" w:space="0" w:color="auto"/>
      </w:divBdr>
    </w:div>
    <w:div w:id="1244951452">
      <w:bodyDiv w:val="1"/>
      <w:marLeft w:val="0"/>
      <w:marRight w:val="0"/>
      <w:marTop w:val="0"/>
      <w:marBottom w:val="0"/>
      <w:divBdr>
        <w:top w:val="none" w:sz="0" w:space="0" w:color="auto"/>
        <w:left w:val="none" w:sz="0" w:space="0" w:color="auto"/>
        <w:bottom w:val="none" w:sz="0" w:space="0" w:color="auto"/>
        <w:right w:val="none" w:sz="0" w:space="0" w:color="auto"/>
      </w:divBdr>
    </w:div>
    <w:div w:id="1255087814">
      <w:bodyDiv w:val="1"/>
      <w:marLeft w:val="0"/>
      <w:marRight w:val="0"/>
      <w:marTop w:val="0"/>
      <w:marBottom w:val="0"/>
      <w:divBdr>
        <w:top w:val="none" w:sz="0" w:space="0" w:color="auto"/>
        <w:left w:val="none" w:sz="0" w:space="0" w:color="auto"/>
        <w:bottom w:val="none" w:sz="0" w:space="0" w:color="auto"/>
        <w:right w:val="none" w:sz="0" w:space="0" w:color="auto"/>
      </w:divBdr>
    </w:div>
    <w:div w:id="1399093928">
      <w:bodyDiv w:val="1"/>
      <w:marLeft w:val="0"/>
      <w:marRight w:val="0"/>
      <w:marTop w:val="0"/>
      <w:marBottom w:val="0"/>
      <w:divBdr>
        <w:top w:val="none" w:sz="0" w:space="0" w:color="auto"/>
        <w:left w:val="none" w:sz="0" w:space="0" w:color="auto"/>
        <w:bottom w:val="none" w:sz="0" w:space="0" w:color="auto"/>
        <w:right w:val="none" w:sz="0" w:space="0" w:color="auto"/>
      </w:divBdr>
    </w:div>
    <w:div w:id="1423532759">
      <w:bodyDiv w:val="1"/>
      <w:marLeft w:val="0"/>
      <w:marRight w:val="0"/>
      <w:marTop w:val="0"/>
      <w:marBottom w:val="0"/>
      <w:divBdr>
        <w:top w:val="none" w:sz="0" w:space="0" w:color="auto"/>
        <w:left w:val="none" w:sz="0" w:space="0" w:color="auto"/>
        <w:bottom w:val="none" w:sz="0" w:space="0" w:color="auto"/>
        <w:right w:val="none" w:sz="0" w:space="0" w:color="auto"/>
      </w:divBdr>
    </w:div>
    <w:div w:id="1550654327">
      <w:bodyDiv w:val="1"/>
      <w:marLeft w:val="0"/>
      <w:marRight w:val="0"/>
      <w:marTop w:val="0"/>
      <w:marBottom w:val="0"/>
      <w:divBdr>
        <w:top w:val="none" w:sz="0" w:space="0" w:color="auto"/>
        <w:left w:val="none" w:sz="0" w:space="0" w:color="auto"/>
        <w:bottom w:val="none" w:sz="0" w:space="0" w:color="auto"/>
        <w:right w:val="none" w:sz="0" w:space="0" w:color="auto"/>
      </w:divBdr>
    </w:div>
    <w:div w:id="1810317077">
      <w:bodyDiv w:val="1"/>
      <w:marLeft w:val="0"/>
      <w:marRight w:val="0"/>
      <w:marTop w:val="0"/>
      <w:marBottom w:val="0"/>
      <w:divBdr>
        <w:top w:val="none" w:sz="0" w:space="0" w:color="auto"/>
        <w:left w:val="none" w:sz="0" w:space="0" w:color="auto"/>
        <w:bottom w:val="none" w:sz="0" w:space="0" w:color="auto"/>
        <w:right w:val="none" w:sz="0" w:space="0" w:color="auto"/>
      </w:divBdr>
    </w:div>
    <w:div w:id="1829325094">
      <w:bodyDiv w:val="1"/>
      <w:marLeft w:val="0"/>
      <w:marRight w:val="0"/>
      <w:marTop w:val="0"/>
      <w:marBottom w:val="0"/>
      <w:divBdr>
        <w:top w:val="none" w:sz="0" w:space="0" w:color="auto"/>
        <w:left w:val="none" w:sz="0" w:space="0" w:color="auto"/>
        <w:bottom w:val="none" w:sz="0" w:space="0" w:color="auto"/>
        <w:right w:val="none" w:sz="0" w:space="0" w:color="auto"/>
      </w:divBdr>
    </w:div>
    <w:div w:id="1876305299">
      <w:bodyDiv w:val="1"/>
      <w:marLeft w:val="0"/>
      <w:marRight w:val="0"/>
      <w:marTop w:val="0"/>
      <w:marBottom w:val="0"/>
      <w:divBdr>
        <w:top w:val="none" w:sz="0" w:space="0" w:color="auto"/>
        <w:left w:val="none" w:sz="0" w:space="0" w:color="auto"/>
        <w:bottom w:val="none" w:sz="0" w:space="0" w:color="auto"/>
        <w:right w:val="none" w:sz="0" w:space="0" w:color="auto"/>
      </w:divBdr>
    </w:div>
    <w:div w:id="1879780798">
      <w:bodyDiv w:val="1"/>
      <w:marLeft w:val="0"/>
      <w:marRight w:val="0"/>
      <w:marTop w:val="0"/>
      <w:marBottom w:val="0"/>
      <w:divBdr>
        <w:top w:val="none" w:sz="0" w:space="0" w:color="auto"/>
        <w:left w:val="none" w:sz="0" w:space="0" w:color="auto"/>
        <w:bottom w:val="none" w:sz="0" w:space="0" w:color="auto"/>
        <w:right w:val="none" w:sz="0" w:space="0" w:color="auto"/>
      </w:divBdr>
    </w:div>
    <w:div w:id="204637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9044/ejes.v7no2a5" TargetMode="External"/><Relationship Id="rId21" Type="http://schemas.openxmlformats.org/officeDocument/2006/relationships/hyperlink" Target="https://www.tayfunsonmez.net/wp-content/uploads/2013/10/Ajayi.pdf?utm_source=chatgpt.com" TargetMode="External"/><Relationship Id="rId42" Type="http://schemas.openxmlformats.org/officeDocument/2006/relationships/hyperlink" Target="https://ndpc.gov.gh/media/Ministry_of_Education_APR_2019.pdf" TargetMode="External"/><Relationship Id="rId47" Type="http://schemas.openxmlformats.org/officeDocument/2006/relationships/hyperlink" Target="https://gnaps.org/unfair-and-unconstitutional-gnaps-challenges-30-placement-policy-that-favors-public-schools/" TargetMode="External"/><Relationship Id="rId63" Type="http://schemas.openxmlformats.org/officeDocument/2006/relationships/hyperlink" Target="https://doi.org/10.33495/jerr_v8i3.20.123" TargetMode="External"/><Relationship Id="rId68" Type="http://schemas.openxmlformats.org/officeDocument/2006/relationships/hyperlink" Target="https://doi.org/10.xxxx/waje.2022.00033" TargetMode="External"/><Relationship Id="rId16" Type="http://schemas.openxmlformats.org/officeDocument/2006/relationships/hyperlink" Target="https://www.academia.edu/17429785/" TargetMode="External"/><Relationship Id="rId11" Type="http://schemas.openxmlformats.org/officeDocument/2006/relationships/image" Target="media/image5.png"/><Relationship Id="rId32" Type="http://schemas.openxmlformats.org/officeDocument/2006/relationships/hyperlink" Target="https://doi.org/10.1088/1742-6596/949/1/012009" TargetMode="External"/><Relationship Id="rId37" Type="http://schemas.openxmlformats.org/officeDocument/2006/relationships/hyperlink" Target="https://yen.com.gh/ghana/269989-ministry-education-releases-2024-school-placement-447698-students-gain-automatic-shs-admission/" TargetMode="External"/><Relationship Id="rId53" Type="http://schemas.openxmlformats.org/officeDocument/2006/relationships/hyperlink" Target="https://doi.org/10.3102/003465430298487" TargetMode="External"/><Relationship Id="rId58" Type="http://schemas.openxmlformats.org/officeDocument/2006/relationships/hyperlink" Target="https://doi.org/10.1177/1744629516666546" TargetMode="External"/><Relationship Id="rId74" Type="http://schemas.openxmlformats.org/officeDocument/2006/relationships/hyperlink" Target="https://doi.org/10.1016/j.jue.2013.03.001" TargetMode="External"/><Relationship Id="rId79" Type="http://schemas.openxmlformats.org/officeDocument/2006/relationships/hyperlink" Target="https://www.universityofcalifornia.edu/press-room/university-california-regents-suspend-satact-requirement-admissions" TargetMode="External"/><Relationship Id="rId5" Type="http://schemas.openxmlformats.org/officeDocument/2006/relationships/footnotes" Target="footnotes.xml"/><Relationship Id="rId61" Type="http://schemas.openxmlformats.org/officeDocument/2006/relationships/hyperlink" Target="https://ir.ucc.edu.gh/" TargetMode="External"/><Relationship Id="rId19" Type="http://schemas.openxmlformats.org/officeDocument/2006/relationships/hyperlink" Target="https://doi.org/10.5901/jesr.2013.v3n2p273" TargetMode="External"/><Relationship Id="rId14" Type="http://schemas.openxmlformats.org/officeDocument/2006/relationships/hyperlink" Target="https://doi.org/10.1257/000282805774670167" TargetMode="External"/><Relationship Id="rId22" Type="http://schemas.openxmlformats.org/officeDocument/2006/relationships/hyperlink" Target="https://doi.org/10.1080/02602938.2024.2400349" TargetMode="External"/><Relationship Id="rId27" Type="http://schemas.openxmlformats.org/officeDocument/2006/relationships/hyperlink" Target="https://doi.org/10.1037/edu0000012" TargetMode="External"/><Relationship Id="rId30" Type="http://schemas.openxmlformats.org/officeDocument/2006/relationships/hyperlink" Target="https://www.chsalliance.org/get-support/resource/chs-alliance-support-to-complaints-and-feedback-mechanisms-report/" TargetMode="External"/><Relationship Id="rId35" Type="http://schemas.openxmlformats.org/officeDocument/2006/relationships/hyperlink" Target="https://eprints.lse.ac.uk/27159/1/Decentralizations_effects_education_world_dev_%28LSERO%29.pdf" TargetMode="External"/><Relationship Id="rId43" Type="http://schemas.openxmlformats.org/officeDocument/2006/relationships/hyperlink" Target="https://ndpc.gov.gh/media/Ministry_of_Education_APR_2019.pdf?utm_source=chatgpt.com" TargetMode="External"/><Relationship Id="rId48" Type="http://schemas.openxmlformats.org/officeDocument/2006/relationships/hyperlink" Target="https://gnaps.org/unfair-and-unconstitutional-gnaps-challenges-30-placement-policy-that-favors-public-schools/?utm_source=chatgpt.com" TargetMode="External"/><Relationship Id="rId56" Type="http://schemas.openxmlformats.org/officeDocument/2006/relationships/hyperlink" Target="https://doi.org/10.3138/ttr.20.2.101" TargetMode="External"/><Relationship Id="rId64" Type="http://schemas.openxmlformats.org/officeDocument/2006/relationships/hyperlink" Target="https://ncea.education.govt.nz/" TargetMode="External"/><Relationship Id="rId69" Type="http://schemas.openxmlformats.org/officeDocument/2006/relationships/hyperlink" Target="https://doi.org/10.4324/9781003117452" TargetMode="External"/><Relationship Id="rId77" Type="http://schemas.openxmlformats.org/officeDocument/2006/relationships/hyperlink" Target="https://theconversation.com/ghanas-computerized-school-placement-system-why-equity-and-efficiency-matter-189234" TargetMode="External"/><Relationship Id="rId8" Type="http://schemas.openxmlformats.org/officeDocument/2006/relationships/image" Target="media/image2.png"/><Relationship Id="rId51" Type="http://schemas.openxmlformats.org/officeDocument/2006/relationships/hyperlink" Target="https://doi.org/10.1108/IJEM-08-2022-0321" TargetMode="External"/><Relationship Id="rId72" Type="http://schemas.openxmlformats.org/officeDocument/2006/relationships/hyperlink" Target="https://www.researchgate.net/publication/274917020_Beyond_College_For_All_Career_Paths_for_the_Forgotten_Half?utm_source=chatgpt.com" TargetMode="External"/><Relationship Id="rId80" Type="http://schemas.openxmlformats.org/officeDocument/2006/relationships/fontTable" Target="fontTable.xml"/><Relationship Id="rId85" Type="http://schemas.microsoft.com/office/2016/09/relationships/commentsIds" Target="commentsIds.xml"/><Relationship Id="rId3" Type="http://schemas.openxmlformats.org/officeDocument/2006/relationships/settings" Target="settings.xml"/><Relationship Id="rId12" Type="http://schemas.openxmlformats.org/officeDocument/2006/relationships/hyperlink" Target="https://3news.com/news/2-5-million-students-have-so-far-benefited-from-free-shs-policy-eduwatch" TargetMode="External"/><Relationship Id="rId17" Type="http://schemas.openxmlformats.org/officeDocument/2006/relationships/hyperlink" Target="https://www.academia.edu/17429785/TRANSPARENCY_EQUITY_AND_ACCESSIBILITY_TO_SECONDARY_EDUCATION_IN_GHANA_THROUGH_E_GOVERNANCE_STAKEHOLDER_PERSPECTIVES_OF_THE_COMPUTERISED_SCHOOL_SELECTION_AND_PLACEMENT_SYSTEM_CSSPS_IN_GHANA?utm_source=chatgpt.com" TargetMode="External"/><Relationship Id="rId25" Type="http://schemas.openxmlformats.org/officeDocument/2006/relationships/hyperlink" Target="https://citinewsroom.com/2019/09/cssps-placement-troubles-could-have-been-avoided-former-coordinator/" TargetMode="External"/><Relationship Id="rId33" Type="http://schemas.openxmlformats.org/officeDocument/2006/relationships/hyperlink" Target="https://consult.education.gov.uk/post-16-qualifications-review-team/post-16-level-3-and-below-qualifications-review/supporting_documents/Post%2016%20level%203%20and%20below%20qualifications%20review%20%20Case%20for%20Change.pdf" TargetMode="External"/><Relationship Id="rId38" Type="http://schemas.openxmlformats.org/officeDocument/2006/relationships/hyperlink" Target="https://doi.org/10.2307/2312726" TargetMode="External"/><Relationship Id="rId46" Type="http://schemas.openxmlformats.org/officeDocument/2006/relationships/hyperlink" Target="https://gnaps.org/private-education-stakeholders-petition-chraj-over-30-prioity-placement-policy-2" TargetMode="External"/><Relationship Id="rId59" Type="http://schemas.openxmlformats.org/officeDocument/2006/relationships/hyperlink" Target="https://doi.org/10.xxxx/gjer.2021.00089" TargetMode="External"/><Relationship Id="rId67" Type="http://schemas.openxmlformats.org/officeDocument/2006/relationships/hyperlink" Target="https://doi.org/10.4314/jepd.v9i1.4" TargetMode="External"/><Relationship Id="rId20" Type="http://schemas.openxmlformats.org/officeDocument/2006/relationships/hyperlink" Target="https://www.tayfunsonmez.net/wp-content/uploads/2013/10/Ajayi.pdf" TargetMode="External"/><Relationship Id="rId41" Type="http://schemas.openxmlformats.org/officeDocument/2006/relationships/hyperlink" Target="https://www.myjoyonline.com/cssps-successes-challenges-and-the-way-forward/" TargetMode="External"/><Relationship Id="rId54" Type="http://schemas.openxmlformats.org/officeDocument/2006/relationships/hyperlink" Target="https://doi.org/10.1016/j.giq.2006.06.005" TargetMode="External"/><Relationship Id="rId62" Type="http://schemas.openxmlformats.org/officeDocument/2006/relationships/hyperlink" Target="https://doi.org/10.15739/IJEPRR.21.010" TargetMode="External"/><Relationship Id="rId70" Type="http://schemas.openxmlformats.org/officeDocument/2006/relationships/hyperlink" Target="https://doi.org/10.4018/IJEGR.2020010101" TargetMode="External"/><Relationship Id="rId75" Type="http://schemas.openxmlformats.org/officeDocument/2006/relationships/hyperlink" Target="https://doi.org/10.1300/J050v08n03_0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researchgate.net/publication/354208009_FREE_SENIOR_HIGH_SCHOOL_POLICY_IMPLICATIONS_TO_EDUCATION_ACCESS_EQUITY_IN_GHANA" TargetMode="External"/><Relationship Id="rId23" Type="http://schemas.openxmlformats.org/officeDocument/2006/relationships/hyperlink" Target="https://www.ncbi.nlm.nih.gov/pmc/articles/PMC6041542/" TargetMode="External"/><Relationship Id="rId28" Type="http://schemas.openxmlformats.org/officeDocument/2006/relationships/hyperlink" Target="https://doi.org/10.30918/AERJ.93.21.055" TargetMode="External"/><Relationship Id="rId36" Type="http://schemas.openxmlformats.org/officeDocument/2006/relationships/hyperlink" Target="https://www.ghanamma.com/2024/04/09/shs-enrolment-goes-high/" TargetMode="External"/><Relationship Id="rId49" Type="http://schemas.openxmlformats.org/officeDocument/2006/relationships/hyperlink" Target="https://gna.org.gh/2024/10/free-shs-increases-enrolment-from-800000-to-1-6million-prez-akufo-addo" TargetMode="External"/><Relationship Id="rId57" Type="http://schemas.openxmlformats.org/officeDocument/2006/relationships/hyperlink" Target="https://doi.org/10.1023/B:RIHE.0000010046.57597.39" TargetMode="External"/><Relationship Id="rId10" Type="http://schemas.openxmlformats.org/officeDocument/2006/relationships/image" Target="media/image4.png"/><Relationship Id="rId31" Type="http://schemas.openxmlformats.org/officeDocument/2006/relationships/hyperlink" Target="https://doi.org/10.1111/0161-4681.00057" TargetMode="External"/><Relationship Id="rId44" Type="http://schemas.openxmlformats.org/officeDocument/2006/relationships/hyperlink" Target="https://gnaps.org/unfair-and-unconstitutional-gnaps-challenges-30-placement-policy-that-favors-public-schools" TargetMode="External"/><Relationship Id="rId52" Type="http://schemas.openxmlformats.org/officeDocument/2006/relationships/hyperlink" Target="https://www.researchgate.net/publication/360832970_Evaluation_of_computerized_school_selection_and_placement_system_in_Ghana_using_fit_and_viability_theory?utm_source=chatgpt.com" TargetMode="External"/><Relationship Id="rId60" Type="http://schemas.openxmlformats.org/officeDocument/2006/relationships/hyperlink" Target="https://doi.org/10.14738/assrj.93.12055" TargetMode="External"/><Relationship Id="rId65" Type="http://schemas.openxmlformats.org/officeDocument/2006/relationships/hyperlink" Target="https://repository.nie.edu.sg/bitstreams/30b9197f-9895-4994-b885-c882d3083161/download" TargetMode="External"/><Relationship Id="rId73" Type="http://schemas.openxmlformats.org/officeDocument/2006/relationships/hyperlink" Target="https://doi.org/10.3102/01623737024002133" TargetMode="External"/><Relationship Id="rId78" Type="http://schemas.openxmlformats.org/officeDocument/2006/relationships/hyperlink" Target="https://doi.org/10.xxxx/uewjes.2021.00120" TargetMode="External"/><Relationship Id="rId81" Type="http://schemas.openxmlformats.org/officeDocument/2006/relationships/theme" Target="theme/theme1.xml"/><Relationship Id="rId86"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doi.org/10.1257/000282803322157061" TargetMode="External"/><Relationship Id="rId18" Type="http://schemas.openxmlformats.org/officeDocument/2006/relationships/hyperlink" Target="https://www.scipublications.com/journal/index.php/ojer/article/view/1144" TargetMode="External"/><Relationship Id="rId39" Type="http://schemas.openxmlformats.org/officeDocument/2006/relationships/hyperlink" Target="https://ges.gov.gh/2023/02/04/computerised-schools-selection-and-placement-systemcssps-2023-text-for-confirmation-of-students-school-choices/" TargetMode="External"/><Relationship Id="rId34" Type="http://schemas.openxmlformats.org/officeDocument/2006/relationships/hyperlink" Target="https://www.bertelsmann-stiftung.de/fileadmin/files/BSt/Publikationen/GrauePublikationen/GP_Germanys_dual_vocational_training_system.pdf" TargetMode="External"/><Relationship Id="rId50" Type="http://schemas.openxmlformats.org/officeDocument/2006/relationships/hyperlink" Target="https://www.academia.edu/17429785/TRANSPARENCY_EQUITY_AND_ACCESSIBILITY_TO_SECONDARY_EDUCATION_IN_GHANA_THROUGH_E_GOVERNANCE_STAKEHOLDER_PERSPECTIVES_OF_THE_COMPUTERISED_SCHOOL_SELECTION_AND_PLACEMENT_SYSTEM_CSSPS_IN_GHANA?utm_source=chatgpt.com" TargetMode="External"/><Relationship Id="rId55" Type="http://schemas.openxmlformats.org/officeDocument/2006/relationships/hyperlink" Target="https://www.myjoyonline.com/cssps-successes-challenges-and-the-way-forward/" TargetMode="External"/><Relationship Id="rId76" Type="http://schemas.openxmlformats.org/officeDocument/2006/relationships/hyperlink" Target="https://doi.org/10.5897/JEAPS2020.0678" TargetMode="External"/><Relationship Id="rId7" Type="http://schemas.openxmlformats.org/officeDocument/2006/relationships/image" Target="media/image1.png"/><Relationship Id="rId71" Type="http://schemas.openxmlformats.org/officeDocument/2006/relationships/hyperlink" Target="https://doi.org/10.7758/9781610444257" TargetMode="External"/><Relationship Id="rId2" Type="http://schemas.openxmlformats.org/officeDocument/2006/relationships/styles" Target="styles.xml"/><Relationship Id="rId29" Type="http://schemas.openxmlformats.org/officeDocument/2006/relationships/hyperlink" Target="https://doi.org/10.1002/ir.10701" TargetMode="External"/><Relationship Id="rId24" Type="http://schemas.openxmlformats.org/officeDocument/2006/relationships/hyperlink" Target="https://doi.org/10.xxxx/africed.2021.00156" TargetMode="External"/><Relationship Id="rId40" Type="http://schemas.openxmlformats.org/officeDocument/2006/relationships/hyperlink" Target="https://ges.gov.gh/2023/02/04/computerised-schools-selection-and-placement-systemcssps-2023-text-for-confirmation-of-students-school-choices/?utm_source=chatgpt.com" TargetMode="External"/><Relationship Id="rId45" Type="http://schemas.openxmlformats.org/officeDocument/2006/relationships/hyperlink" Target="https://dailyguidenetwork.com/shs-enrolment-goes-high/" TargetMode="External"/><Relationship Id="rId66" Type="http://schemas.openxmlformats.org/officeDocument/2006/relationships/hyperlink" Target="https://doi.org/10.1108/IJEM-04-2020-0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4181</TotalTime>
  <Pages>34</Pages>
  <Words>12297</Words>
  <Characters>70095</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dc:creator>
  <cp:keywords/>
  <dc:description/>
  <cp:lastModifiedBy>MATHIAS</cp:lastModifiedBy>
  <cp:revision>8</cp:revision>
  <cp:lastPrinted>2025-06-02T21:13:00Z</cp:lastPrinted>
  <dcterms:created xsi:type="dcterms:W3CDTF">2025-05-15T21:03:00Z</dcterms:created>
  <dcterms:modified xsi:type="dcterms:W3CDTF">2025-06-27T21:24:00Z</dcterms:modified>
</cp:coreProperties>
</file>